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DA14" w14:textId="1D601C3F" w:rsidR="007335FB" w:rsidRPr="00742EFB" w:rsidRDefault="001B4602">
      <w:pPr>
        <w:pStyle w:val="Zkladntext"/>
        <w:spacing w:before="7" w:after="1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040B22" wp14:editId="7D28B2CB">
                <wp:simplePos x="0" y="0"/>
                <wp:positionH relativeFrom="page">
                  <wp:posOffset>0</wp:posOffset>
                </wp:positionH>
                <wp:positionV relativeFrom="page">
                  <wp:posOffset>10262870</wp:posOffset>
                </wp:positionV>
                <wp:extent cx="6751320" cy="121920"/>
                <wp:effectExtent l="0" t="0" r="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1320" cy="121920"/>
                        </a:xfrm>
                        <a:custGeom>
                          <a:avLst/>
                          <a:gdLst>
                            <a:gd name="T0" fmla="*/ 10632 w 10632"/>
                            <a:gd name="T1" fmla="+- 0 16162 16162"/>
                            <a:gd name="T2" fmla="*/ 16162 h 192"/>
                            <a:gd name="T3" fmla="*/ 0 w 10632"/>
                            <a:gd name="T4" fmla="+- 0 16162 16162"/>
                            <a:gd name="T5" fmla="*/ 16162 h 192"/>
                            <a:gd name="T6" fmla="*/ 0 w 10632"/>
                            <a:gd name="T7" fmla="+- 0 16191 16162"/>
                            <a:gd name="T8" fmla="*/ 16191 h 192"/>
                            <a:gd name="T9" fmla="*/ 0 w 10632"/>
                            <a:gd name="T10" fmla="+- 0 16325 16162"/>
                            <a:gd name="T11" fmla="*/ 16325 h 192"/>
                            <a:gd name="T12" fmla="*/ 0 w 10632"/>
                            <a:gd name="T13" fmla="+- 0 16354 16162"/>
                            <a:gd name="T14" fmla="*/ 16354 h 192"/>
                            <a:gd name="T15" fmla="*/ 10241 w 10632"/>
                            <a:gd name="T16" fmla="+- 0 16354 16162"/>
                            <a:gd name="T17" fmla="*/ 16354 h 192"/>
                            <a:gd name="T18" fmla="*/ 10326 w 10632"/>
                            <a:gd name="T19" fmla="+- 0 16342 16162"/>
                            <a:gd name="T20" fmla="*/ 16342 h 192"/>
                            <a:gd name="T21" fmla="*/ 10406 w 10632"/>
                            <a:gd name="T22" fmla="+- 0 16311 16162"/>
                            <a:gd name="T23" fmla="*/ 16311 h 192"/>
                            <a:gd name="T24" fmla="*/ 10435 w 10632"/>
                            <a:gd name="T25" fmla="+- 0 16294 16162"/>
                            <a:gd name="T26" fmla="*/ 16294 h 192"/>
                            <a:gd name="T27" fmla="*/ 10461 w 10632"/>
                            <a:gd name="T28" fmla="+- 0 16282 16162"/>
                            <a:gd name="T29" fmla="*/ 16282 h 192"/>
                            <a:gd name="T30" fmla="*/ 10506 w 10632"/>
                            <a:gd name="T31" fmla="+- 0 16254 16162"/>
                            <a:gd name="T32" fmla="*/ 16254 h 192"/>
                            <a:gd name="T33" fmla="*/ 10549 w 10632"/>
                            <a:gd name="T34" fmla="+- 0 16225 16162"/>
                            <a:gd name="T35" fmla="*/ 16225 h 192"/>
                            <a:gd name="T36" fmla="*/ 10591 w 10632"/>
                            <a:gd name="T37" fmla="+- 0 16194 16162"/>
                            <a:gd name="T38" fmla="*/ 16194 h 192"/>
                            <a:gd name="T39" fmla="*/ 10632 w 10632"/>
                            <a:gd name="T40" fmla="+- 0 16162 16162"/>
                            <a:gd name="T41" fmla="*/ 16162 h 19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10632" h="192">
                              <a:moveTo>
                                <a:pt x="10632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63"/>
                              </a:lnTo>
                              <a:lnTo>
                                <a:pt x="0" y="192"/>
                              </a:lnTo>
                              <a:lnTo>
                                <a:pt x="10241" y="192"/>
                              </a:lnTo>
                              <a:lnTo>
                                <a:pt x="10326" y="180"/>
                              </a:lnTo>
                              <a:lnTo>
                                <a:pt x="10406" y="149"/>
                              </a:lnTo>
                              <a:lnTo>
                                <a:pt x="10435" y="132"/>
                              </a:lnTo>
                              <a:lnTo>
                                <a:pt x="10461" y="120"/>
                              </a:lnTo>
                              <a:lnTo>
                                <a:pt x="10506" y="92"/>
                              </a:lnTo>
                              <a:lnTo>
                                <a:pt x="10549" y="63"/>
                              </a:lnTo>
                              <a:lnTo>
                                <a:pt x="10591" y="32"/>
                              </a:lnTo>
                              <a:lnTo>
                                <a:pt x="10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8A101E" id="docshape1" o:spid="_x0000_s1026" style="position:absolute;margin-left:0;margin-top:808.1pt;width:531.6pt;height: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3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" path="m10632,l,,,29,,163r,29l10241,192r85,-12l10406,149r29,-17l10461,120r45,-28l10549,63r42,-31l10632,xe" fillcolor="#ffed00" stroked="f">
                <v:path arrowok="t" o:connecttype="custom" o:connectlocs="6751320,10262870;0,10262870;0,10281285;0,10366375;0,10384790;6503035,10384790;6557010,10377170;6607810,10357485;6626225,10346690;6642735,10339070;6671310,10321290;6698615,10302875;6725285,10283190;6751320,10262870" o:connectangles="0,0,0,0,0,0,0,0,0,0,0,0,0,0"/>
                <w10:wrap anchorx="page" anchory="page"/>
              </v:shape>
            </w:pict>
          </mc:Fallback>
        </mc:AlternateContent>
      </w:r>
    </w:p>
    <w:p w14:paraId="535E0A6E" w14:textId="77777777" w:rsidR="007335FB" w:rsidRPr="00742EFB" w:rsidRDefault="00A870AD">
      <w:pPr>
        <w:pStyle w:val="Zkladntext"/>
        <w:ind w:left="71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2C13A8" wp14:editId="45FAFAFC">
            <wp:extent cx="2027008" cy="289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008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2FDA5" w14:textId="0B223FCB" w:rsidR="007335FB" w:rsidRPr="00742EFB" w:rsidRDefault="00A870AD">
      <w:pPr>
        <w:pStyle w:val="Nadpis2"/>
        <w:spacing w:before="120" w:line="410" w:lineRule="auto"/>
        <w:ind w:left="7267" w:firstLine="43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87B5F0D" wp14:editId="185EA4A8">
            <wp:simplePos x="0" y="0"/>
            <wp:positionH relativeFrom="page">
              <wp:posOffset>533400</wp:posOffset>
            </wp:positionH>
            <wp:positionV relativeFrom="paragraph">
              <wp:posOffset>-378372</wp:posOffset>
            </wp:positionV>
            <wp:extent cx="1868436" cy="7802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3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Paříž, 23. února 2023</w:t>
      </w:r>
    </w:p>
    <w:p w14:paraId="28897B0F" w14:textId="344EBC75" w:rsidR="007335FB" w:rsidRPr="00742EFB" w:rsidRDefault="00682A86" w:rsidP="00682A86">
      <w:pPr>
        <w:pStyle w:val="Nzev"/>
        <w:spacing w:before="480"/>
        <w:ind w:left="270" w:right="650"/>
      </w:pPr>
      <w:r>
        <w:rPr>
          <w:color w:val="2C4864"/>
        </w:rPr>
        <w:t>FINANČNÍ ROK</w:t>
      </w:r>
      <w:r w:rsidR="00A870AD">
        <w:rPr>
          <w:color w:val="2C4864"/>
        </w:rPr>
        <w:t xml:space="preserve"> 2022</w:t>
      </w:r>
    </w:p>
    <w:p w14:paraId="3D42B94E" w14:textId="3D25B649" w:rsidR="007335FB" w:rsidRPr="00742EFB" w:rsidRDefault="007335FB">
      <w:pPr>
        <w:pStyle w:val="Zkladntext"/>
        <w:rPr>
          <w:b/>
        </w:rPr>
      </w:pPr>
    </w:p>
    <w:p w14:paraId="781FFDE2" w14:textId="04D18B09" w:rsidR="009564ED" w:rsidRDefault="009564ED" w:rsidP="009564ED">
      <w:pPr>
        <w:pStyle w:val="Zkladntext1"/>
        <w:framePr w:w="9629" w:h="3235" w:hRule="exact" w:wrap="none" w:vAnchor="page" w:hAnchor="page" w:x="986" w:y="3677"/>
        <w:numPr>
          <w:ilvl w:val="0"/>
          <w:numId w:val="4"/>
        </w:numPr>
        <w:shd w:val="clear" w:color="auto" w:fill="B8CCE4" w:themeFill="accent1" w:themeFillTint="66"/>
        <w:tabs>
          <w:tab w:val="left" w:pos="355"/>
        </w:tabs>
        <w:spacing w:line="262" w:lineRule="auto"/>
        <w:ind w:left="420" w:hanging="420"/>
      </w:pPr>
      <w:r>
        <w:rPr>
          <w:rStyle w:val="Zkladntext0"/>
        </w:rPr>
        <w:t xml:space="preserve">Objem </w:t>
      </w:r>
      <w:r w:rsidR="00682A86">
        <w:rPr>
          <w:rStyle w:val="Zkladntext0"/>
        </w:rPr>
        <w:t>nasmlouvaných zakázek</w:t>
      </w:r>
      <w:r>
        <w:rPr>
          <w:rStyle w:val="Zkladntext0"/>
        </w:rPr>
        <w:t xml:space="preserve"> ve výši 11,7 mld. eur, což </w:t>
      </w:r>
      <w:r w:rsidR="00682A86">
        <w:rPr>
          <w:rStyle w:val="Zkladntext0"/>
        </w:rPr>
        <w:t>představuje</w:t>
      </w:r>
      <w:r>
        <w:rPr>
          <w:rStyle w:val="Zkladntext0"/>
        </w:rPr>
        <w:t xml:space="preserve"> meziroční nárůst o 9 % (+7 % při konstantních směnných kurzech a bez zahrnutí významných akvizic a prodejů)</w:t>
      </w:r>
    </w:p>
    <w:p w14:paraId="7E5BC5E0" w14:textId="74C3BA40" w:rsidR="009564ED" w:rsidRPr="00C7019D" w:rsidRDefault="009564ED" w:rsidP="00C7019D">
      <w:pPr>
        <w:pStyle w:val="Zkladntext1"/>
        <w:framePr w:w="9629" w:h="3235" w:hRule="exact" w:wrap="none" w:vAnchor="page" w:hAnchor="page" w:x="986" w:y="3677"/>
        <w:numPr>
          <w:ilvl w:val="0"/>
          <w:numId w:val="4"/>
        </w:numPr>
        <w:shd w:val="clear" w:color="auto" w:fill="B8CCE4" w:themeFill="accent1" w:themeFillTint="66"/>
        <w:tabs>
          <w:tab w:val="left" w:pos="355"/>
        </w:tabs>
        <w:spacing w:line="262" w:lineRule="auto"/>
        <w:ind w:left="420" w:hanging="420"/>
        <w:rPr>
          <w:rStyle w:val="Zkladntext0"/>
        </w:rPr>
      </w:pPr>
      <w:r>
        <w:rPr>
          <w:rStyle w:val="Zkladntext0"/>
        </w:rPr>
        <w:t xml:space="preserve">Tržby ve výši 15,5 mld. eur, což je o 17 % více než v roce 2021 (+9 % při konstantním rozsahu </w:t>
      </w:r>
      <w:r w:rsidR="00682A86">
        <w:rPr>
          <w:rStyle w:val="Zkladntext0"/>
        </w:rPr>
        <w:t xml:space="preserve">konsolidace </w:t>
      </w:r>
      <w:r>
        <w:rPr>
          <w:rStyle w:val="Zkladntext0"/>
        </w:rPr>
        <w:t>a konstantních směnných kurzech)</w:t>
      </w:r>
    </w:p>
    <w:p w14:paraId="21C32F78" w14:textId="77777777" w:rsidR="009564ED" w:rsidRDefault="009564ED" w:rsidP="00C7019D">
      <w:pPr>
        <w:pStyle w:val="Zkladntext1"/>
        <w:framePr w:w="9629" w:h="3235" w:hRule="exact" w:wrap="none" w:vAnchor="page" w:hAnchor="page" w:x="986" w:y="3677"/>
        <w:numPr>
          <w:ilvl w:val="0"/>
          <w:numId w:val="4"/>
        </w:numPr>
        <w:shd w:val="clear" w:color="auto" w:fill="B8CCE4" w:themeFill="accent1" w:themeFillTint="66"/>
        <w:tabs>
          <w:tab w:val="left" w:pos="355"/>
        </w:tabs>
        <w:spacing w:line="262" w:lineRule="auto"/>
        <w:ind w:left="420" w:hanging="420"/>
      </w:pPr>
      <w:r>
        <w:rPr>
          <w:rStyle w:val="Zkladntext0"/>
        </w:rPr>
        <w:t>Běžný provozní zisk ve výši 460 mil. eur, což je o 20 mil. eur více než v roce 2021. K tomuto výsledku výrazně přispěly dobré výsledky ve 2. pololetí</w:t>
      </w:r>
    </w:p>
    <w:p w14:paraId="5800C344" w14:textId="77777777" w:rsidR="009564ED" w:rsidRDefault="009564ED" w:rsidP="009564ED">
      <w:pPr>
        <w:pStyle w:val="Zkladntext1"/>
        <w:framePr w:w="9629" w:h="3235" w:hRule="exact" w:wrap="none" w:vAnchor="page" w:hAnchor="page" w:x="986" w:y="3677"/>
        <w:numPr>
          <w:ilvl w:val="0"/>
          <w:numId w:val="4"/>
        </w:numPr>
        <w:shd w:val="clear" w:color="auto" w:fill="B8CCE4" w:themeFill="accent1" w:themeFillTint="66"/>
        <w:tabs>
          <w:tab w:val="left" w:pos="355"/>
        </w:tabs>
        <w:spacing w:line="252" w:lineRule="auto"/>
      </w:pPr>
      <w:r>
        <w:rPr>
          <w:rStyle w:val="Zkladntext0"/>
        </w:rPr>
        <w:t>Čistý zisk připadající na skupinu vzrostl o 15 % na 301 mil. eur</w:t>
      </w:r>
    </w:p>
    <w:p w14:paraId="304FFC25" w14:textId="77777777" w:rsidR="009564ED" w:rsidRDefault="009564ED" w:rsidP="009564ED">
      <w:pPr>
        <w:pStyle w:val="Zkladntext1"/>
        <w:framePr w:w="9629" w:h="3235" w:hRule="exact" w:wrap="none" w:vAnchor="page" w:hAnchor="page" w:x="986" w:y="3677"/>
        <w:numPr>
          <w:ilvl w:val="0"/>
          <w:numId w:val="4"/>
        </w:numPr>
        <w:shd w:val="clear" w:color="auto" w:fill="B8CCE4" w:themeFill="accent1" w:themeFillTint="66"/>
        <w:tabs>
          <w:tab w:val="left" w:pos="355"/>
        </w:tabs>
        <w:spacing w:line="252" w:lineRule="auto"/>
      </w:pPr>
      <w:r>
        <w:rPr>
          <w:rStyle w:val="Zkladntext0"/>
        </w:rPr>
        <w:t>Volný peněžní tok ve výši 287 mil. eur (358 mil. eur v roce 2021)</w:t>
      </w:r>
    </w:p>
    <w:p w14:paraId="0788D543" w14:textId="77777777" w:rsidR="009564ED" w:rsidRDefault="009564ED" w:rsidP="009564ED">
      <w:pPr>
        <w:pStyle w:val="Zkladntext1"/>
        <w:framePr w:w="9629" w:h="3235" w:hRule="exact" w:wrap="none" w:vAnchor="page" w:hAnchor="page" w:x="986" w:y="3677"/>
        <w:numPr>
          <w:ilvl w:val="0"/>
          <w:numId w:val="4"/>
        </w:numPr>
        <w:shd w:val="clear" w:color="auto" w:fill="B8CCE4" w:themeFill="accent1" w:themeFillTint="66"/>
        <w:tabs>
          <w:tab w:val="left" w:pos="355"/>
        </w:tabs>
        <w:spacing w:after="0" w:line="252" w:lineRule="auto"/>
      </w:pPr>
      <w:r>
        <w:rPr>
          <w:rStyle w:val="Zkladntext0"/>
        </w:rPr>
        <w:t>Čistý dluh na konci prosince 2022 ve výši 292 mil. eur (33 mil. eur na konci roku 2021)</w:t>
      </w:r>
    </w:p>
    <w:p w14:paraId="7755B6D7" w14:textId="77777777" w:rsidR="007335FB" w:rsidRPr="00742EFB" w:rsidRDefault="007335FB" w:rsidP="009564ED">
      <w:pPr>
        <w:pStyle w:val="Zkladntext"/>
        <w:spacing w:before="4000"/>
        <w:rPr>
          <w:b/>
          <w:sz w:val="21"/>
        </w:rPr>
      </w:pPr>
    </w:p>
    <w:p w14:paraId="4213FDBB" w14:textId="77777777" w:rsidR="00063E95" w:rsidRDefault="00A870AD" w:rsidP="00C7019D">
      <w:pPr>
        <w:pStyle w:val="Zkladntext"/>
        <w:ind w:left="132" w:right="206"/>
        <w:jc w:val="both"/>
      </w:pPr>
      <w:r>
        <w:t xml:space="preserve">Představenstvo společnosti Colas, kterému předsedá pan </w:t>
      </w:r>
      <w:proofErr w:type="spellStart"/>
      <w:r>
        <w:t>Frédéric</w:t>
      </w:r>
      <w:proofErr w:type="spellEnd"/>
      <w:r>
        <w:t xml:space="preserve"> </w:t>
      </w:r>
      <w:proofErr w:type="spellStart"/>
      <w:r>
        <w:t>Gardès</w:t>
      </w:r>
      <w:proofErr w:type="spellEnd"/>
      <w:r>
        <w:t xml:space="preserve">, </w:t>
      </w:r>
      <w:r w:rsidR="00C7019D" w:rsidRPr="00C7019D">
        <w:t xml:space="preserve">dne </w:t>
      </w:r>
      <w:r w:rsidR="00C7019D">
        <w:t>21</w:t>
      </w:r>
      <w:r w:rsidR="00C7019D" w:rsidRPr="00C7019D">
        <w:t>. února 202</w:t>
      </w:r>
      <w:r w:rsidR="00C7019D">
        <w:t>3</w:t>
      </w:r>
      <w:r w:rsidR="00C7019D" w:rsidRPr="00C7019D">
        <w:t xml:space="preserve"> projednalo a schválilo účetní závěrku za rok 20</w:t>
      </w:r>
      <w:r w:rsidR="00C7019D">
        <w:t>22</w:t>
      </w:r>
      <w:r w:rsidR="00C7019D" w:rsidRPr="00C7019D">
        <w:t xml:space="preserve">, která bude předložena ke schválení valné hromadě </w:t>
      </w:r>
      <w:r w:rsidR="00C7019D">
        <w:t xml:space="preserve">svolané </w:t>
      </w:r>
    </w:p>
    <w:p w14:paraId="5BF9386A" w14:textId="48D07EFA" w:rsidR="00063E95" w:rsidRDefault="00063E95" w:rsidP="00C7019D">
      <w:pPr>
        <w:pStyle w:val="Zkladntext"/>
        <w:ind w:left="132" w:right="206"/>
        <w:jc w:val="both"/>
      </w:pPr>
      <w:r>
        <w:t>na 25. dubna 2023.</w:t>
      </w:r>
    </w:p>
    <w:p w14:paraId="7307574F" w14:textId="77777777" w:rsidR="007335FB" w:rsidRPr="00742EFB" w:rsidRDefault="007335FB">
      <w:pPr>
        <w:pStyle w:val="Zkladntext"/>
        <w:rPr>
          <w:sz w:val="24"/>
        </w:rPr>
      </w:pPr>
    </w:p>
    <w:p w14:paraId="7BAD7439" w14:textId="71C5240A" w:rsidR="007335FB" w:rsidRPr="00742EFB" w:rsidRDefault="00C7019D">
      <w:pPr>
        <w:pStyle w:val="Nadpis1"/>
        <w:spacing w:before="183"/>
        <w:jc w:val="both"/>
        <w:rPr>
          <w:u w:val="none"/>
        </w:rPr>
      </w:pPr>
      <w:bookmarkStart w:id="0" w:name="Consolidated_key_figures"/>
      <w:bookmarkEnd w:id="0"/>
      <w:r>
        <w:rPr>
          <w:color w:val="2C4864"/>
          <w:u w:val="thick" w:color="2C4864"/>
        </w:rPr>
        <w:t>H</w:t>
      </w:r>
      <w:r w:rsidR="00A870AD">
        <w:rPr>
          <w:color w:val="2C4864"/>
          <w:u w:val="thick" w:color="2C4864"/>
        </w:rPr>
        <w:t xml:space="preserve">lavní </w:t>
      </w:r>
      <w:r>
        <w:rPr>
          <w:color w:val="2C4864"/>
          <w:u w:val="thick" w:color="2C4864"/>
        </w:rPr>
        <w:t xml:space="preserve">konsolidované </w:t>
      </w:r>
      <w:r w:rsidR="00A870AD">
        <w:rPr>
          <w:color w:val="2C4864"/>
          <w:u w:val="thick" w:color="2C4864"/>
        </w:rPr>
        <w:t>údaje</w:t>
      </w:r>
    </w:p>
    <w:p w14:paraId="485098BB" w14:textId="77777777" w:rsidR="007335FB" w:rsidRPr="00742EFB" w:rsidRDefault="007335FB">
      <w:pPr>
        <w:pStyle w:val="Zkladntext"/>
        <w:spacing w:before="6"/>
        <w:rPr>
          <w:b/>
          <w:sz w:val="9"/>
        </w:rPr>
      </w:pPr>
    </w:p>
    <w:tbl>
      <w:tblPr>
        <w:tblStyle w:val="TableNormal"/>
        <w:tblW w:w="10649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4690"/>
        <w:gridCol w:w="1311"/>
        <w:gridCol w:w="1411"/>
        <w:gridCol w:w="1515"/>
        <w:gridCol w:w="1722"/>
      </w:tblGrid>
      <w:tr w:rsidR="007335FB" w:rsidRPr="00742EFB" w14:paraId="69A0EA96" w14:textId="77777777" w:rsidTr="009500A3">
        <w:trPr>
          <w:trHeight w:val="1061"/>
        </w:trPr>
        <w:tc>
          <w:tcPr>
            <w:tcW w:w="4690" w:type="dxa"/>
            <w:tcBorders>
              <w:bottom w:val="single" w:sz="8" w:space="0" w:color="A6A6A6"/>
            </w:tcBorders>
          </w:tcPr>
          <w:p w14:paraId="570018AC" w14:textId="77777777" w:rsidR="007335FB" w:rsidRPr="00742EFB" w:rsidRDefault="007335FB">
            <w:pPr>
              <w:pStyle w:val="TableParagraph"/>
              <w:rPr>
                <w:b/>
              </w:rPr>
            </w:pPr>
          </w:p>
          <w:p w14:paraId="39BF570D" w14:textId="77777777" w:rsidR="007335FB" w:rsidRPr="00742EFB" w:rsidRDefault="007335FB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C7B5C05" w14:textId="77777777" w:rsidR="007335FB" w:rsidRPr="00742EFB" w:rsidRDefault="00A870AD">
            <w:pPr>
              <w:pStyle w:val="TableParagraph"/>
              <w:ind w:left="84"/>
              <w:rPr>
                <w:i/>
                <w:sz w:val="20"/>
              </w:rPr>
            </w:pPr>
            <w:r>
              <w:rPr>
                <w:i/>
                <w:color w:val="2C4864"/>
                <w:sz w:val="20"/>
              </w:rPr>
              <w:t>v milionech eur</w:t>
            </w:r>
          </w:p>
        </w:tc>
        <w:tc>
          <w:tcPr>
            <w:tcW w:w="1311" w:type="dxa"/>
            <w:tcBorders>
              <w:bottom w:val="single" w:sz="8" w:space="0" w:color="A6A6A6"/>
            </w:tcBorders>
          </w:tcPr>
          <w:p w14:paraId="238624E7" w14:textId="77777777" w:rsidR="007335FB" w:rsidRPr="00742EFB" w:rsidRDefault="007335FB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6C4279C6" w14:textId="77777777" w:rsidR="007335FB" w:rsidRPr="00742EFB" w:rsidRDefault="00A870AD">
            <w:pPr>
              <w:pStyle w:val="TableParagraph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2021</w:t>
            </w:r>
          </w:p>
        </w:tc>
        <w:tc>
          <w:tcPr>
            <w:tcW w:w="1411" w:type="dxa"/>
            <w:tcBorders>
              <w:bottom w:val="single" w:sz="8" w:space="0" w:color="A6A6A6"/>
            </w:tcBorders>
            <w:shd w:val="clear" w:color="auto" w:fill="FFEC00"/>
          </w:tcPr>
          <w:p w14:paraId="4D468230" w14:textId="77777777" w:rsidR="007335FB" w:rsidRPr="00742EFB" w:rsidRDefault="007335FB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24FD3C96" w14:textId="77777777" w:rsidR="007335FB" w:rsidRPr="00742EFB" w:rsidRDefault="00A870AD">
            <w:pPr>
              <w:pStyle w:val="TableParagraph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2022</w:t>
            </w:r>
          </w:p>
        </w:tc>
        <w:tc>
          <w:tcPr>
            <w:tcW w:w="1515" w:type="dxa"/>
            <w:tcBorders>
              <w:bottom w:val="single" w:sz="8" w:space="0" w:color="A6A6A6"/>
            </w:tcBorders>
          </w:tcPr>
          <w:p w14:paraId="220A1578" w14:textId="77777777" w:rsidR="007335FB" w:rsidRPr="00742EFB" w:rsidRDefault="007335F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7E6614D" w14:textId="77777777" w:rsidR="007335FB" w:rsidRPr="00742EFB" w:rsidRDefault="00A870AD">
            <w:pPr>
              <w:pStyle w:val="TableParagraph"/>
              <w:ind w:left="361" w:right="189" w:hanging="13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Změna oproti r. 2021</w:t>
            </w:r>
          </w:p>
        </w:tc>
        <w:tc>
          <w:tcPr>
            <w:tcW w:w="1722" w:type="dxa"/>
            <w:tcBorders>
              <w:bottom w:val="single" w:sz="8" w:space="0" w:color="A6A6A6"/>
            </w:tcBorders>
          </w:tcPr>
          <w:p w14:paraId="2D77D7DC" w14:textId="0DEE0D2C" w:rsidR="007335FB" w:rsidRPr="00742EFB" w:rsidRDefault="00A870AD" w:rsidP="008A25D2">
            <w:pPr>
              <w:pStyle w:val="TableParagraph"/>
              <w:spacing w:before="120"/>
              <w:ind w:left="274" w:right="113" w:hanging="77"/>
              <w:jc w:val="right"/>
              <w:rPr>
                <w:sz w:val="20"/>
              </w:rPr>
            </w:pPr>
            <w:r>
              <w:rPr>
                <w:color w:val="2C4864"/>
                <w:sz w:val="20"/>
              </w:rPr>
              <w:t xml:space="preserve">Při konstantním rozsahu a </w:t>
            </w:r>
            <w:proofErr w:type="spellStart"/>
            <w:r>
              <w:rPr>
                <w:color w:val="2C4864"/>
                <w:sz w:val="20"/>
              </w:rPr>
              <w:t>konst</w:t>
            </w:r>
            <w:proofErr w:type="spellEnd"/>
            <w:r>
              <w:rPr>
                <w:color w:val="2C4864"/>
                <w:sz w:val="20"/>
              </w:rPr>
              <w:t>. směn. kurzech</w:t>
            </w:r>
          </w:p>
        </w:tc>
      </w:tr>
      <w:tr w:rsidR="007335FB" w:rsidRPr="00742EFB" w14:paraId="30DDD2CF" w14:textId="77777777" w:rsidTr="009500A3">
        <w:trPr>
          <w:trHeight w:val="467"/>
        </w:trPr>
        <w:tc>
          <w:tcPr>
            <w:tcW w:w="4690" w:type="dxa"/>
            <w:tcBorders>
              <w:top w:val="single" w:sz="8" w:space="0" w:color="A6A6A6"/>
            </w:tcBorders>
          </w:tcPr>
          <w:p w14:paraId="5D546A43" w14:textId="4D3ED17E" w:rsidR="007335FB" w:rsidRPr="00742EFB" w:rsidRDefault="00C7019D">
            <w:pPr>
              <w:pStyle w:val="TableParagraph"/>
              <w:spacing w:before="131"/>
              <w:ind w:left="84"/>
              <w:rPr>
                <w:b/>
              </w:rPr>
            </w:pPr>
            <w:r>
              <w:rPr>
                <w:b/>
                <w:color w:val="2C4864"/>
              </w:rPr>
              <w:t>Tržby</w:t>
            </w:r>
          </w:p>
        </w:tc>
        <w:tc>
          <w:tcPr>
            <w:tcW w:w="1311" w:type="dxa"/>
            <w:tcBorders>
              <w:top w:val="single" w:sz="8" w:space="0" w:color="A6A6A6"/>
            </w:tcBorders>
          </w:tcPr>
          <w:p w14:paraId="0A7D6A27" w14:textId="77777777" w:rsidR="007335FB" w:rsidRPr="00742EFB" w:rsidRDefault="00A870AD">
            <w:pPr>
              <w:pStyle w:val="TableParagraph"/>
              <w:spacing w:before="120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13 226</w:t>
            </w:r>
          </w:p>
        </w:tc>
        <w:tc>
          <w:tcPr>
            <w:tcW w:w="1411" w:type="dxa"/>
            <w:tcBorders>
              <w:top w:val="single" w:sz="8" w:space="0" w:color="A6A6A6"/>
            </w:tcBorders>
            <w:shd w:val="clear" w:color="auto" w:fill="FFEC00"/>
          </w:tcPr>
          <w:p w14:paraId="085E1D88" w14:textId="77777777" w:rsidR="007335FB" w:rsidRPr="00742EFB" w:rsidRDefault="00A870AD">
            <w:pPr>
              <w:pStyle w:val="TableParagraph"/>
              <w:spacing w:before="120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15 529</w:t>
            </w:r>
          </w:p>
        </w:tc>
        <w:tc>
          <w:tcPr>
            <w:tcW w:w="1515" w:type="dxa"/>
            <w:tcBorders>
              <w:top w:val="single" w:sz="8" w:space="0" w:color="A6A6A6"/>
            </w:tcBorders>
          </w:tcPr>
          <w:p w14:paraId="1D9FA933" w14:textId="77777777" w:rsidR="007335FB" w:rsidRPr="00742EFB" w:rsidRDefault="00A870AD">
            <w:pPr>
              <w:pStyle w:val="TableParagraph"/>
              <w:spacing w:before="120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</w:t>
            </w:r>
            <w:proofErr w:type="gramStart"/>
            <w:r>
              <w:rPr>
                <w:b/>
                <w:color w:val="2C4864"/>
                <w:sz w:val="24"/>
              </w:rPr>
              <w:t>17%</w:t>
            </w:r>
            <w:proofErr w:type="gramEnd"/>
          </w:p>
        </w:tc>
        <w:tc>
          <w:tcPr>
            <w:tcW w:w="1722" w:type="dxa"/>
            <w:tcBorders>
              <w:top w:val="single" w:sz="8" w:space="0" w:color="A6A6A6"/>
            </w:tcBorders>
          </w:tcPr>
          <w:p w14:paraId="112AC540" w14:textId="77777777" w:rsidR="007335FB" w:rsidRPr="00742EFB" w:rsidRDefault="00A870AD">
            <w:pPr>
              <w:pStyle w:val="TableParagraph"/>
              <w:spacing w:before="120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</w:t>
            </w:r>
            <w:proofErr w:type="gramStart"/>
            <w:r>
              <w:rPr>
                <w:b/>
                <w:color w:val="2C4864"/>
                <w:sz w:val="24"/>
              </w:rPr>
              <w:t>9%</w:t>
            </w:r>
            <w:proofErr w:type="gramEnd"/>
          </w:p>
        </w:tc>
      </w:tr>
      <w:tr w:rsidR="007335FB" w:rsidRPr="00742EFB" w14:paraId="5D014B1A" w14:textId="77777777" w:rsidTr="009500A3">
        <w:trPr>
          <w:trHeight w:val="403"/>
        </w:trPr>
        <w:tc>
          <w:tcPr>
            <w:tcW w:w="4690" w:type="dxa"/>
          </w:tcPr>
          <w:p w14:paraId="48ED2FA2" w14:textId="7F123BE1" w:rsidR="007335FB" w:rsidRPr="00742EFB" w:rsidRDefault="00C7019D">
            <w:pPr>
              <w:pStyle w:val="TableParagraph"/>
              <w:spacing w:before="76"/>
              <w:ind w:left="485"/>
              <w:rPr>
                <w:i/>
                <w:sz w:val="20"/>
              </w:rPr>
            </w:pPr>
            <w:r>
              <w:rPr>
                <w:i/>
                <w:color w:val="2C4864"/>
                <w:sz w:val="20"/>
              </w:rPr>
              <w:t>z toho</w:t>
            </w:r>
            <w:r w:rsidR="00A870AD">
              <w:rPr>
                <w:i/>
                <w:color w:val="2C4864"/>
                <w:sz w:val="20"/>
              </w:rPr>
              <w:t xml:space="preserve"> Francie</w:t>
            </w:r>
          </w:p>
        </w:tc>
        <w:tc>
          <w:tcPr>
            <w:tcW w:w="1311" w:type="dxa"/>
          </w:tcPr>
          <w:p w14:paraId="4E492AEC" w14:textId="77777777" w:rsidR="007335FB" w:rsidRPr="00742EFB" w:rsidRDefault="00A870AD">
            <w:pPr>
              <w:pStyle w:val="TableParagraph"/>
              <w:spacing w:before="56"/>
              <w:ind w:right="111"/>
              <w:jc w:val="right"/>
              <w:rPr>
                <w:i/>
                <w:sz w:val="24"/>
              </w:rPr>
            </w:pPr>
            <w:r>
              <w:rPr>
                <w:i/>
                <w:color w:val="2C4864"/>
                <w:sz w:val="24"/>
              </w:rPr>
              <w:t>6 051</w:t>
            </w:r>
          </w:p>
        </w:tc>
        <w:tc>
          <w:tcPr>
            <w:tcW w:w="1411" w:type="dxa"/>
            <w:shd w:val="clear" w:color="auto" w:fill="FFEC00"/>
          </w:tcPr>
          <w:p w14:paraId="68008E1A" w14:textId="77777777" w:rsidR="007335FB" w:rsidRPr="00742EFB" w:rsidRDefault="00A870AD">
            <w:pPr>
              <w:pStyle w:val="TableParagraph"/>
              <w:spacing w:before="56"/>
              <w:ind w:right="108"/>
              <w:jc w:val="right"/>
              <w:rPr>
                <w:i/>
                <w:sz w:val="24"/>
              </w:rPr>
            </w:pPr>
            <w:r>
              <w:rPr>
                <w:i/>
                <w:color w:val="2C4864"/>
                <w:sz w:val="24"/>
              </w:rPr>
              <w:t>6 241</w:t>
            </w:r>
          </w:p>
        </w:tc>
        <w:tc>
          <w:tcPr>
            <w:tcW w:w="1515" w:type="dxa"/>
          </w:tcPr>
          <w:p w14:paraId="78586AA3" w14:textId="77777777" w:rsidR="007335FB" w:rsidRPr="00742EFB" w:rsidRDefault="00A870AD">
            <w:pPr>
              <w:pStyle w:val="TableParagraph"/>
              <w:spacing w:before="56"/>
              <w:ind w:right="194"/>
              <w:jc w:val="right"/>
              <w:rPr>
                <w:i/>
                <w:sz w:val="24"/>
              </w:rPr>
            </w:pPr>
            <w:r>
              <w:rPr>
                <w:i/>
                <w:color w:val="2C4864"/>
                <w:sz w:val="24"/>
              </w:rPr>
              <w:t>+</w:t>
            </w:r>
            <w:proofErr w:type="gramStart"/>
            <w:r>
              <w:rPr>
                <w:i/>
                <w:color w:val="2C4864"/>
                <w:sz w:val="24"/>
              </w:rPr>
              <w:t>3%</w:t>
            </w:r>
            <w:proofErr w:type="gramEnd"/>
          </w:p>
        </w:tc>
        <w:tc>
          <w:tcPr>
            <w:tcW w:w="1722" w:type="dxa"/>
          </w:tcPr>
          <w:p w14:paraId="72FFDE55" w14:textId="77777777" w:rsidR="007335FB" w:rsidRPr="00742EFB" w:rsidRDefault="00A870AD">
            <w:pPr>
              <w:pStyle w:val="TableParagraph"/>
              <w:spacing w:before="56"/>
              <w:ind w:right="114"/>
              <w:jc w:val="right"/>
              <w:rPr>
                <w:i/>
                <w:sz w:val="24"/>
              </w:rPr>
            </w:pPr>
            <w:r>
              <w:rPr>
                <w:i/>
                <w:color w:val="2C4864"/>
                <w:sz w:val="24"/>
              </w:rPr>
              <w:t>+</w:t>
            </w:r>
            <w:proofErr w:type="gramStart"/>
            <w:r>
              <w:rPr>
                <w:i/>
                <w:color w:val="2C4864"/>
                <w:sz w:val="24"/>
              </w:rPr>
              <w:t>3%</w:t>
            </w:r>
            <w:proofErr w:type="gramEnd"/>
          </w:p>
        </w:tc>
      </w:tr>
      <w:tr w:rsidR="007335FB" w:rsidRPr="00742EFB" w14:paraId="05D5D6C8" w14:textId="77777777" w:rsidTr="009500A3">
        <w:trPr>
          <w:trHeight w:val="337"/>
        </w:trPr>
        <w:tc>
          <w:tcPr>
            <w:tcW w:w="4690" w:type="dxa"/>
            <w:tcBorders>
              <w:bottom w:val="single" w:sz="4" w:space="0" w:color="A6A6A6"/>
            </w:tcBorders>
          </w:tcPr>
          <w:p w14:paraId="15AB17C3" w14:textId="390EFAC2" w:rsidR="007335FB" w:rsidRPr="00742EFB" w:rsidRDefault="00C7019D">
            <w:pPr>
              <w:pStyle w:val="TableParagraph"/>
              <w:spacing w:before="77"/>
              <w:ind w:left="485"/>
              <w:rPr>
                <w:i/>
                <w:sz w:val="20"/>
              </w:rPr>
            </w:pPr>
            <w:r>
              <w:rPr>
                <w:i/>
                <w:color w:val="2C4864"/>
                <w:sz w:val="20"/>
              </w:rPr>
              <w:t>z toho</w:t>
            </w:r>
            <w:r w:rsidR="00A870AD">
              <w:rPr>
                <w:i/>
                <w:color w:val="2C4864"/>
                <w:sz w:val="20"/>
              </w:rPr>
              <w:t xml:space="preserve"> mezinárodní</w:t>
            </w:r>
            <w:r>
              <w:rPr>
                <w:i/>
                <w:color w:val="2C4864"/>
                <w:sz w:val="20"/>
              </w:rPr>
              <w:t xml:space="preserve"> pobočky</w:t>
            </w:r>
          </w:p>
        </w:tc>
        <w:tc>
          <w:tcPr>
            <w:tcW w:w="1311" w:type="dxa"/>
            <w:tcBorders>
              <w:bottom w:val="single" w:sz="4" w:space="0" w:color="A6A6A6"/>
            </w:tcBorders>
          </w:tcPr>
          <w:p w14:paraId="5FBB5C38" w14:textId="77777777" w:rsidR="007335FB" w:rsidRPr="00742EFB" w:rsidRDefault="00A870AD">
            <w:pPr>
              <w:pStyle w:val="TableParagraph"/>
              <w:spacing w:before="56" w:line="255" w:lineRule="exact"/>
              <w:ind w:right="111"/>
              <w:jc w:val="right"/>
              <w:rPr>
                <w:i/>
                <w:sz w:val="24"/>
              </w:rPr>
            </w:pPr>
            <w:r>
              <w:rPr>
                <w:i/>
                <w:color w:val="2C4864"/>
                <w:sz w:val="24"/>
              </w:rPr>
              <w:t>7 175</w:t>
            </w:r>
          </w:p>
        </w:tc>
        <w:tc>
          <w:tcPr>
            <w:tcW w:w="1411" w:type="dxa"/>
            <w:tcBorders>
              <w:bottom w:val="single" w:sz="4" w:space="0" w:color="A6A6A6"/>
            </w:tcBorders>
            <w:shd w:val="clear" w:color="auto" w:fill="FFEC00"/>
          </w:tcPr>
          <w:p w14:paraId="31CDBC04" w14:textId="77777777" w:rsidR="007335FB" w:rsidRPr="00742EFB" w:rsidRDefault="00A870AD">
            <w:pPr>
              <w:pStyle w:val="TableParagraph"/>
              <w:spacing w:before="56" w:line="255" w:lineRule="exact"/>
              <w:ind w:right="108"/>
              <w:jc w:val="right"/>
              <w:rPr>
                <w:i/>
                <w:sz w:val="24"/>
              </w:rPr>
            </w:pPr>
            <w:r>
              <w:rPr>
                <w:i/>
                <w:color w:val="2C4864"/>
                <w:sz w:val="24"/>
              </w:rPr>
              <w:t>9 288</w:t>
            </w:r>
          </w:p>
        </w:tc>
        <w:tc>
          <w:tcPr>
            <w:tcW w:w="1515" w:type="dxa"/>
            <w:tcBorders>
              <w:bottom w:val="single" w:sz="4" w:space="0" w:color="A6A6A6"/>
            </w:tcBorders>
          </w:tcPr>
          <w:p w14:paraId="3CB2BFF8" w14:textId="77777777" w:rsidR="007335FB" w:rsidRPr="00742EFB" w:rsidRDefault="00A870AD">
            <w:pPr>
              <w:pStyle w:val="TableParagraph"/>
              <w:spacing w:before="56" w:line="255" w:lineRule="exact"/>
              <w:ind w:right="194"/>
              <w:jc w:val="right"/>
              <w:rPr>
                <w:i/>
                <w:sz w:val="24"/>
              </w:rPr>
            </w:pPr>
            <w:r>
              <w:rPr>
                <w:i/>
                <w:color w:val="2C4864"/>
                <w:sz w:val="24"/>
              </w:rPr>
              <w:t>+</w:t>
            </w:r>
            <w:proofErr w:type="gramStart"/>
            <w:r>
              <w:rPr>
                <w:i/>
                <w:color w:val="2C4864"/>
                <w:sz w:val="24"/>
              </w:rPr>
              <w:t>29%</w:t>
            </w:r>
            <w:proofErr w:type="gramEnd"/>
          </w:p>
        </w:tc>
        <w:tc>
          <w:tcPr>
            <w:tcW w:w="1722" w:type="dxa"/>
            <w:tcBorders>
              <w:bottom w:val="single" w:sz="4" w:space="0" w:color="A6A6A6"/>
            </w:tcBorders>
          </w:tcPr>
          <w:p w14:paraId="307B50C1" w14:textId="77777777" w:rsidR="007335FB" w:rsidRPr="00742EFB" w:rsidRDefault="00A870AD">
            <w:pPr>
              <w:pStyle w:val="TableParagraph"/>
              <w:spacing w:before="56" w:line="255" w:lineRule="exact"/>
              <w:ind w:right="114"/>
              <w:jc w:val="right"/>
              <w:rPr>
                <w:i/>
                <w:sz w:val="24"/>
              </w:rPr>
            </w:pPr>
            <w:r>
              <w:rPr>
                <w:i/>
                <w:color w:val="2C4864"/>
                <w:sz w:val="24"/>
              </w:rPr>
              <w:t>+</w:t>
            </w:r>
            <w:proofErr w:type="gramStart"/>
            <w:r>
              <w:rPr>
                <w:i/>
                <w:color w:val="2C4864"/>
                <w:sz w:val="24"/>
              </w:rPr>
              <w:t>14%</w:t>
            </w:r>
            <w:proofErr w:type="gramEnd"/>
          </w:p>
        </w:tc>
      </w:tr>
      <w:tr w:rsidR="007335FB" w:rsidRPr="00742EFB" w14:paraId="4B7CB889" w14:textId="77777777" w:rsidTr="009500A3">
        <w:trPr>
          <w:trHeight w:val="473"/>
        </w:trPr>
        <w:tc>
          <w:tcPr>
            <w:tcW w:w="4690" w:type="dxa"/>
            <w:tcBorders>
              <w:top w:val="single" w:sz="4" w:space="0" w:color="A6A6A6"/>
            </w:tcBorders>
          </w:tcPr>
          <w:p w14:paraId="779D61E3" w14:textId="037A70F4" w:rsidR="007335FB" w:rsidRPr="00742EFB" w:rsidRDefault="00C7019D">
            <w:pPr>
              <w:pStyle w:val="TableParagraph"/>
              <w:spacing w:before="132"/>
              <w:ind w:left="84"/>
              <w:rPr>
                <w:b/>
              </w:rPr>
            </w:pPr>
            <w:r>
              <w:rPr>
                <w:b/>
                <w:color w:val="2C4864"/>
              </w:rPr>
              <w:t>P</w:t>
            </w:r>
            <w:r w:rsidR="00A870AD">
              <w:rPr>
                <w:b/>
                <w:color w:val="2C4864"/>
              </w:rPr>
              <w:t>rovozní zisk z</w:t>
            </w:r>
            <w:r>
              <w:rPr>
                <w:b/>
                <w:color w:val="2C4864"/>
              </w:rPr>
              <w:t xml:space="preserve"> běžné </w:t>
            </w:r>
            <w:r w:rsidR="00A870AD">
              <w:rPr>
                <w:b/>
                <w:color w:val="2C4864"/>
              </w:rPr>
              <w:t>činnosti</w:t>
            </w:r>
            <w:r w:rsidR="00A870AD">
              <w:rPr>
                <w:b/>
                <w:color w:val="2C4864"/>
                <w:vertAlign w:val="superscript"/>
              </w:rPr>
              <w:t>(a)</w:t>
            </w:r>
          </w:p>
        </w:tc>
        <w:tc>
          <w:tcPr>
            <w:tcW w:w="1311" w:type="dxa"/>
            <w:tcBorders>
              <w:top w:val="single" w:sz="4" w:space="0" w:color="A6A6A6"/>
            </w:tcBorders>
          </w:tcPr>
          <w:p w14:paraId="6BC13A3F" w14:textId="77777777" w:rsidR="007335FB" w:rsidRPr="00742EFB" w:rsidRDefault="00A870AD">
            <w:pPr>
              <w:pStyle w:val="TableParagraph"/>
              <w:spacing w:before="120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447</w:t>
            </w:r>
          </w:p>
        </w:tc>
        <w:tc>
          <w:tcPr>
            <w:tcW w:w="1411" w:type="dxa"/>
            <w:tcBorders>
              <w:top w:val="single" w:sz="4" w:space="0" w:color="A6A6A6"/>
            </w:tcBorders>
            <w:shd w:val="clear" w:color="auto" w:fill="FFEC00"/>
          </w:tcPr>
          <w:p w14:paraId="6EE47B98" w14:textId="77777777" w:rsidR="007335FB" w:rsidRPr="00742EFB" w:rsidRDefault="00A870AD">
            <w:pPr>
              <w:pStyle w:val="TableParagraph"/>
              <w:spacing w:before="120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468</w:t>
            </w:r>
          </w:p>
        </w:tc>
        <w:tc>
          <w:tcPr>
            <w:tcW w:w="1515" w:type="dxa"/>
            <w:tcBorders>
              <w:top w:val="single" w:sz="4" w:space="0" w:color="A6A6A6"/>
            </w:tcBorders>
          </w:tcPr>
          <w:p w14:paraId="4E666809" w14:textId="77777777" w:rsidR="007335FB" w:rsidRPr="00742EFB" w:rsidRDefault="00A870AD">
            <w:pPr>
              <w:pStyle w:val="TableParagraph"/>
              <w:spacing w:before="120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+21</w:t>
            </w:r>
          </w:p>
        </w:tc>
        <w:tc>
          <w:tcPr>
            <w:tcW w:w="1722" w:type="dxa"/>
            <w:tcBorders>
              <w:top w:val="single" w:sz="4" w:space="0" w:color="A6A6A6"/>
            </w:tcBorders>
          </w:tcPr>
          <w:p w14:paraId="49B1F7D0" w14:textId="77777777" w:rsidR="007335FB" w:rsidRPr="00742EFB" w:rsidRDefault="007335FB">
            <w:pPr>
              <w:pStyle w:val="TableParagraph"/>
              <w:rPr>
                <w:rFonts w:ascii="Times New Roman"/>
              </w:rPr>
            </w:pPr>
          </w:p>
        </w:tc>
      </w:tr>
      <w:tr w:rsidR="007335FB" w:rsidRPr="00742EFB" w14:paraId="7555B215" w14:textId="77777777" w:rsidTr="009500A3">
        <w:trPr>
          <w:trHeight w:val="392"/>
        </w:trPr>
        <w:tc>
          <w:tcPr>
            <w:tcW w:w="4690" w:type="dxa"/>
          </w:tcPr>
          <w:p w14:paraId="0AC02EAC" w14:textId="77777777" w:rsidR="007335FB" w:rsidRPr="00742EFB" w:rsidRDefault="00A870AD">
            <w:pPr>
              <w:pStyle w:val="TableParagraph"/>
              <w:spacing w:before="62"/>
              <w:ind w:left="84"/>
              <w:rPr>
                <w:i/>
              </w:rPr>
            </w:pPr>
            <w:r>
              <w:rPr>
                <w:i/>
                <w:color w:val="2C4864"/>
              </w:rPr>
              <w:t>Ziskové rozpětí z činností</w:t>
            </w:r>
          </w:p>
        </w:tc>
        <w:tc>
          <w:tcPr>
            <w:tcW w:w="1311" w:type="dxa"/>
          </w:tcPr>
          <w:p w14:paraId="09CB3A3B" w14:textId="77777777" w:rsidR="007335FB" w:rsidRPr="00742EFB" w:rsidRDefault="00A870AD">
            <w:pPr>
              <w:pStyle w:val="TableParagraph"/>
              <w:spacing w:before="62"/>
              <w:ind w:right="110"/>
              <w:jc w:val="right"/>
            </w:pPr>
            <w:proofErr w:type="gramStart"/>
            <w:r>
              <w:rPr>
                <w:color w:val="2C4864"/>
              </w:rPr>
              <w:t>3,4%</w:t>
            </w:r>
            <w:proofErr w:type="gramEnd"/>
          </w:p>
        </w:tc>
        <w:tc>
          <w:tcPr>
            <w:tcW w:w="1411" w:type="dxa"/>
            <w:shd w:val="clear" w:color="auto" w:fill="FFEC00"/>
          </w:tcPr>
          <w:p w14:paraId="54859052" w14:textId="77777777" w:rsidR="007335FB" w:rsidRPr="00742EFB" w:rsidRDefault="00A870AD">
            <w:pPr>
              <w:pStyle w:val="TableParagraph"/>
              <w:spacing w:before="62"/>
              <w:ind w:right="107"/>
              <w:jc w:val="right"/>
            </w:pPr>
            <w:proofErr w:type="gramStart"/>
            <w:r>
              <w:rPr>
                <w:color w:val="2C4864"/>
              </w:rPr>
              <w:t>3,0%</w:t>
            </w:r>
            <w:proofErr w:type="gramEnd"/>
          </w:p>
        </w:tc>
        <w:tc>
          <w:tcPr>
            <w:tcW w:w="1515" w:type="dxa"/>
          </w:tcPr>
          <w:p w14:paraId="22FE7E0C" w14:textId="77777777" w:rsidR="007335FB" w:rsidRPr="00742EFB" w:rsidRDefault="00A870AD">
            <w:pPr>
              <w:pStyle w:val="TableParagraph"/>
              <w:spacing w:before="62"/>
              <w:ind w:right="192"/>
              <w:jc w:val="right"/>
              <w:rPr>
                <w:i/>
              </w:rPr>
            </w:pPr>
            <w:r>
              <w:rPr>
                <w:i/>
                <w:color w:val="2C4864"/>
              </w:rPr>
              <w:t>-0,4 bodu</w:t>
            </w:r>
          </w:p>
        </w:tc>
        <w:tc>
          <w:tcPr>
            <w:tcW w:w="1722" w:type="dxa"/>
          </w:tcPr>
          <w:p w14:paraId="18364730" w14:textId="77777777" w:rsidR="007335FB" w:rsidRPr="00742EFB" w:rsidRDefault="007335FB">
            <w:pPr>
              <w:pStyle w:val="TableParagraph"/>
              <w:rPr>
                <w:rFonts w:ascii="Times New Roman"/>
              </w:rPr>
            </w:pPr>
          </w:p>
        </w:tc>
      </w:tr>
      <w:tr w:rsidR="007335FB" w:rsidRPr="00742EFB" w14:paraId="17F8423A" w14:textId="77777777" w:rsidTr="009500A3">
        <w:trPr>
          <w:trHeight w:val="403"/>
        </w:trPr>
        <w:tc>
          <w:tcPr>
            <w:tcW w:w="4690" w:type="dxa"/>
          </w:tcPr>
          <w:p w14:paraId="739DD1ED" w14:textId="77777777" w:rsidR="007335FB" w:rsidRPr="00742EFB" w:rsidRDefault="00A870AD">
            <w:pPr>
              <w:pStyle w:val="TableParagraph"/>
              <w:spacing w:before="73"/>
              <w:ind w:left="84"/>
              <w:rPr>
                <w:b/>
              </w:rPr>
            </w:pPr>
            <w:r>
              <w:rPr>
                <w:b/>
                <w:color w:val="2C4864"/>
              </w:rPr>
              <w:t>Běžný provozní zisk</w:t>
            </w:r>
          </w:p>
        </w:tc>
        <w:tc>
          <w:tcPr>
            <w:tcW w:w="1311" w:type="dxa"/>
          </w:tcPr>
          <w:p w14:paraId="088B6C82" w14:textId="77777777" w:rsidR="007335FB" w:rsidRPr="00742EFB" w:rsidRDefault="00A870AD">
            <w:pPr>
              <w:pStyle w:val="TableParagraph"/>
              <w:spacing w:before="61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440</w:t>
            </w:r>
          </w:p>
        </w:tc>
        <w:tc>
          <w:tcPr>
            <w:tcW w:w="1411" w:type="dxa"/>
            <w:shd w:val="clear" w:color="auto" w:fill="FFEC00"/>
          </w:tcPr>
          <w:p w14:paraId="67CE70FF" w14:textId="77777777" w:rsidR="007335FB" w:rsidRPr="00742EFB" w:rsidRDefault="00A870AD">
            <w:pPr>
              <w:pStyle w:val="TableParagraph"/>
              <w:spacing w:before="61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460</w:t>
            </w:r>
          </w:p>
        </w:tc>
        <w:tc>
          <w:tcPr>
            <w:tcW w:w="1515" w:type="dxa"/>
          </w:tcPr>
          <w:p w14:paraId="75D1C232" w14:textId="77777777" w:rsidR="007335FB" w:rsidRPr="00742EFB" w:rsidRDefault="00A870AD">
            <w:pPr>
              <w:pStyle w:val="TableParagraph"/>
              <w:spacing w:before="61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+20</w:t>
            </w:r>
          </w:p>
        </w:tc>
        <w:tc>
          <w:tcPr>
            <w:tcW w:w="1722" w:type="dxa"/>
          </w:tcPr>
          <w:p w14:paraId="0B13F705" w14:textId="77777777" w:rsidR="007335FB" w:rsidRPr="00742EFB" w:rsidRDefault="007335FB">
            <w:pPr>
              <w:pStyle w:val="TableParagraph"/>
              <w:rPr>
                <w:rFonts w:ascii="Times New Roman"/>
              </w:rPr>
            </w:pPr>
          </w:p>
        </w:tc>
      </w:tr>
      <w:tr w:rsidR="007335FB" w:rsidRPr="00742EFB" w14:paraId="39BFFA70" w14:textId="77777777" w:rsidTr="009500A3">
        <w:trPr>
          <w:trHeight w:val="407"/>
        </w:trPr>
        <w:tc>
          <w:tcPr>
            <w:tcW w:w="4690" w:type="dxa"/>
          </w:tcPr>
          <w:p w14:paraId="2A116285" w14:textId="77777777" w:rsidR="007335FB" w:rsidRPr="00742EFB" w:rsidRDefault="00A870AD">
            <w:pPr>
              <w:pStyle w:val="TableParagraph"/>
              <w:spacing w:before="71"/>
              <w:ind w:left="84"/>
              <w:rPr>
                <w:b/>
              </w:rPr>
            </w:pPr>
            <w:r>
              <w:rPr>
                <w:b/>
                <w:color w:val="2C4864"/>
              </w:rPr>
              <w:t>Provozní zisk</w:t>
            </w:r>
          </w:p>
        </w:tc>
        <w:tc>
          <w:tcPr>
            <w:tcW w:w="1311" w:type="dxa"/>
          </w:tcPr>
          <w:p w14:paraId="77FD4BAD" w14:textId="26E1F0A7" w:rsidR="007335FB" w:rsidRPr="00742EFB" w:rsidRDefault="00A870AD">
            <w:pPr>
              <w:pStyle w:val="TableParagraph"/>
              <w:spacing w:before="5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2C4864"/>
                <w:sz w:val="24"/>
              </w:rPr>
              <w:t>430</w:t>
            </w:r>
            <w:r>
              <w:rPr>
                <w:b/>
                <w:color w:val="2C4864"/>
                <w:sz w:val="16"/>
              </w:rPr>
              <w:t>(b)</w:t>
            </w:r>
          </w:p>
        </w:tc>
        <w:tc>
          <w:tcPr>
            <w:tcW w:w="1411" w:type="dxa"/>
            <w:shd w:val="clear" w:color="auto" w:fill="FFEC00"/>
          </w:tcPr>
          <w:p w14:paraId="4B4D1100" w14:textId="77777777" w:rsidR="007335FB" w:rsidRPr="00742EFB" w:rsidRDefault="00A870AD">
            <w:pPr>
              <w:pStyle w:val="TableParagraph"/>
              <w:spacing w:before="59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460</w:t>
            </w:r>
          </w:p>
        </w:tc>
        <w:tc>
          <w:tcPr>
            <w:tcW w:w="1515" w:type="dxa"/>
          </w:tcPr>
          <w:p w14:paraId="66920F3B" w14:textId="77777777" w:rsidR="007335FB" w:rsidRPr="00742EFB" w:rsidRDefault="00A870AD">
            <w:pPr>
              <w:pStyle w:val="TableParagraph"/>
              <w:spacing w:before="59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+30</w:t>
            </w:r>
          </w:p>
        </w:tc>
        <w:tc>
          <w:tcPr>
            <w:tcW w:w="1722" w:type="dxa"/>
          </w:tcPr>
          <w:p w14:paraId="0C5F294C" w14:textId="77777777" w:rsidR="007335FB" w:rsidRPr="00742EFB" w:rsidRDefault="007335FB">
            <w:pPr>
              <w:pStyle w:val="TableParagraph"/>
              <w:rPr>
                <w:rFonts w:ascii="Times New Roman"/>
              </w:rPr>
            </w:pPr>
          </w:p>
        </w:tc>
      </w:tr>
      <w:tr w:rsidR="007335FB" w:rsidRPr="00742EFB" w14:paraId="1499B6A7" w14:textId="77777777" w:rsidTr="009500A3">
        <w:trPr>
          <w:trHeight w:val="338"/>
        </w:trPr>
        <w:tc>
          <w:tcPr>
            <w:tcW w:w="4690" w:type="dxa"/>
            <w:tcBorders>
              <w:bottom w:val="single" w:sz="8" w:space="0" w:color="A6A6A6"/>
            </w:tcBorders>
          </w:tcPr>
          <w:p w14:paraId="14F76C83" w14:textId="77777777" w:rsidR="007335FB" w:rsidRPr="00742EFB" w:rsidRDefault="00A870AD">
            <w:pPr>
              <w:pStyle w:val="TableParagraph"/>
              <w:spacing w:before="68" w:line="244" w:lineRule="exact"/>
              <w:ind w:left="84"/>
              <w:rPr>
                <w:b/>
              </w:rPr>
            </w:pPr>
            <w:r>
              <w:rPr>
                <w:b/>
                <w:color w:val="2C4864"/>
              </w:rPr>
              <w:t>Čistý zisk připadající na skupinu</w:t>
            </w:r>
          </w:p>
        </w:tc>
        <w:tc>
          <w:tcPr>
            <w:tcW w:w="1311" w:type="dxa"/>
            <w:tcBorders>
              <w:bottom w:val="single" w:sz="8" w:space="0" w:color="A6A6A6"/>
            </w:tcBorders>
          </w:tcPr>
          <w:p w14:paraId="730A9E8D" w14:textId="77777777" w:rsidR="007335FB" w:rsidRPr="00742EFB" w:rsidRDefault="00A870AD">
            <w:pPr>
              <w:pStyle w:val="TableParagraph"/>
              <w:spacing w:before="57" w:line="255" w:lineRule="exact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261</w:t>
            </w:r>
          </w:p>
        </w:tc>
        <w:tc>
          <w:tcPr>
            <w:tcW w:w="1411" w:type="dxa"/>
            <w:tcBorders>
              <w:bottom w:val="single" w:sz="8" w:space="0" w:color="A6A6A6"/>
            </w:tcBorders>
            <w:shd w:val="clear" w:color="auto" w:fill="FFEC00"/>
          </w:tcPr>
          <w:p w14:paraId="79717391" w14:textId="77777777" w:rsidR="007335FB" w:rsidRPr="00742EFB" w:rsidRDefault="00A870AD">
            <w:pPr>
              <w:pStyle w:val="TableParagraph"/>
              <w:spacing w:before="57" w:line="255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301</w:t>
            </w:r>
          </w:p>
        </w:tc>
        <w:tc>
          <w:tcPr>
            <w:tcW w:w="1515" w:type="dxa"/>
            <w:tcBorders>
              <w:bottom w:val="single" w:sz="8" w:space="0" w:color="A6A6A6"/>
            </w:tcBorders>
          </w:tcPr>
          <w:p w14:paraId="106B74B2" w14:textId="77777777" w:rsidR="007335FB" w:rsidRPr="00742EFB" w:rsidRDefault="00A870AD">
            <w:pPr>
              <w:pStyle w:val="TableParagraph"/>
              <w:spacing w:before="57" w:line="255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+40</w:t>
            </w:r>
          </w:p>
        </w:tc>
        <w:tc>
          <w:tcPr>
            <w:tcW w:w="1722" w:type="dxa"/>
            <w:tcBorders>
              <w:bottom w:val="single" w:sz="8" w:space="0" w:color="A6A6A6"/>
            </w:tcBorders>
          </w:tcPr>
          <w:p w14:paraId="05687D40" w14:textId="77777777" w:rsidR="007335FB" w:rsidRPr="00742EFB" w:rsidRDefault="007335FB">
            <w:pPr>
              <w:pStyle w:val="TableParagraph"/>
              <w:rPr>
                <w:rFonts w:ascii="Times New Roman"/>
              </w:rPr>
            </w:pPr>
          </w:p>
        </w:tc>
      </w:tr>
      <w:tr w:rsidR="007335FB" w:rsidRPr="00742EFB" w14:paraId="39A4388E" w14:textId="77777777" w:rsidTr="009500A3">
        <w:trPr>
          <w:trHeight w:val="404"/>
        </w:trPr>
        <w:tc>
          <w:tcPr>
            <w:tcW w:w="4690" w:type="dxa"/>
            <w:tcBorders>
              <w:top w:val="single" w:sz="8" w:space="0" w:color="A6A6A6"/>
              <w:bottom w:val="single" w:sz="8" w:space="0" w:color="A6A6A6"/>
            </w:tcBorders>
          </w:tcPr>
          <w:p w14:paraId="6800D332" w14:textId="77777777" w:rsidR="007335FB" w:rsidRPr="00742EFB" w:rsidRDefault="00A870AD">
            <w:pPr>
              <w:pStyle w:val="TableParagraph"/>
              <w:spacing w:before="134" w:line="244" w:lineRule="exact"/>
              <w:ind w:left="84"/>
              <w:rPr>
                <w:b/>
              </w:rPr>
            </w:pPr>
            <w:r>
              <w:rPr>
                <w:b/>
                <w:color w:val="2C4864"/>
              </w:rPr>
              <w:t>Volný peněžní tok</w:t>
            </w:r>
          </w:p>
        </w:tc>
        <w:tc>
          <w:tcPr>
            <w:tcW w:w="1311" w:type="dxa"/>
            <w:tcBorders>
              <w:top w:val="single" w:sz="8" w:space="0" w:color="A6A6A6"/>
              <w:bottom w:val="single" w:sz="8" w:space="0" w:color="A6A6A6"/>
            </w:tcBorders>
          </w:tcPr>
          <w:p w14:paraId="02B31DA7" w14:textId="77777777" w:rsidR="007335FB" w:rsidRPr="00742EFB" w:rsidRDefault="00A870AD">
            <w:pPr>
              <w:pStyle w:val="TableParagraph"/>
              <w:spacing w:before="122" w:line="255" w:lineRule="exact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358</w:t>
            </w:r>
          </w:p>
        </w:tc>
        <w:tc>
          <w:tcPr>
            <w:tcW w:w="1411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FFEC00"/>
          </w:tcPr>
          <w:p w14:paraId="2C854624" w14:textId="77777777" w:rsidR="007335FB" w:rsidRPr="00742EFB" w:rsidRDefault="00A870AD">
            <w:pPr>
              <w:pStyle w:val="TableParagraph"/>
              <w:spacing w:before="122" w:line="255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287</w:t>
            </w:r>
          </w:p>
        </w:tc>
        <w:tc>
          <w:tcPr>
            <w:tcW w:w="3237" w:type="dxa"/>
            <w:gridSpan w:val="2"/>
            <w:tcBorders>
              <w:top w:val="single" w:sz="8" w:space="0" w:color="A6A6A6"/>
              <w:bottom w:val="single" w:sz="8" w:space="0" w:color="A6A6A6"/>
            </w:tcBorders>
          </w:tcPr>
          <w:p w14:paraId="0FE0AEF2" w14:textId="77777777" w:rsidR="007335FB" w:rsidRPr="00742EFB" w:rsidRDefault="00A870AD">
            <w:pPr>
              <w:pStyle w:val="TableParagraph"/>
              <w:spacing w:before="122" w:line="255" w:lineRule="exact"/>
              <w:ind w:left="882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-71</w:t>
            </w:r>
          </w:p>
        </w:tc>
      </w:tr>
      <w:tr w:rsidR="007335FB" w:rsidRPr="00742EFB" w14:paraId="09B92F6D" w14:textId="77777777" w:rsidTr="009500A3">
        <w:trPr>
          <w:trHeight w:val="402"/>
        </w:trPr>
        <w:tc>
          <w:tcPr>
            <w:tcW w:w="4690" w:type="dxa"/>
            <w:tcBorders>
              <w:top w:val="single" w:sz="8" w:space="0" w:color="A6A6A6"/>
              <w:bottom w:val="single" w:sz="8" w:space="0" w:color="A6A6A6"/>
            </w:tcBorders>
          </w:tcPr>
          <w:p w14:paraId="6C1A73BA" w14:textId="77777777" w:rsidR="007335FB" w:rsidRPr="00742EFB" w:rsidRDefault="00A870AD">
            <w:pPr>
              <w:pStyle w:val="TableParagraph"/>
              <w:spacing w:before="131" w:line="244" w:lineRule="exact"/>
              <w:ind w:left="84"/>
              <w:rPr>
                <w:b/>
              </w:rPr>
            </w:pPr>
            <w:r>
              <w:rPr>
                <w:b/>
                <w:color w:val="2C4864"/>
              </w:rPr>
              <w:t>Čistý přebytek peněžních prostředků / (čistý dluh)</w:t>
            </w:r>
          </w:p>
        </w:tc>
        <w:tc>
          <w:tcPr>
            <w:tcW w:w="1311" w:type="dxa"/>
            <w:tcBorders>
              <w:top w:val="single" w:sz="8" w:space="0" w:color="A6A6A6"/>
              <w:bottom w:val="single" w:sz="8" w:space="0" w:color="A6A6A6"/>
            </w:tcBorders>
          </w:tcPr>
          <w:p w14:paraId="4DD6A619" w14:textId="77777777" w:rsidR="007335FB" w:rsidRPr="00742EFB" w:rsidRDefault="00A870AD">
            <w:pPr>
              <w:pStyle w:val="TableParagraph"/>
              <w:spacing w:before="119" w:line="255" w:lineRule="exact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(33)</w:t>
            </w:r>
          </w:p>
        </w:tc>
        <w:tc>
          <w:tcPr>
            <w:tcW w:w="1411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FFEC00"/>
          </w:tcPr>
          <w:p w14:paraId="3EAEECEA" w14:textId="77777777" w:rsidR="007335FB" w:rsidRPr="00742EFB" w:rsidRDefault="00A870AD">
            <w:pPr>
              <w:pStyle w:val="TableParagraph"/>
              <w:spacing w:before="119" w:line="255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(292)</w:t>
            </w:r>
          </w:p>
        </w:tc>
        <w:tc>
          <w:tcPr>
            <w:tcW w:w="3237" w:type="dxa"/>
            <w:gridSpan w:val="2"/>
            <w:tcBorders>
              <w:top w:val="single" w:sz="8" w:space="0" w:color="A6A6A6"/>
              <w:bottom w:val="single" w:sz="8" w:space="0" w:color="A6A6A6"/>
            </w:tcBorders>
          </w:tcPr>
          <w:p w14:paraId="57C3B30F" w14:textId="77777777" w:rsidR="007335FB" w:rsidRPr="00742EFB" w:rsidRDefault="00A870AD">
            <w:pPr>
              <w:pStyle w:val="TableParagraph"/>
              <w:spacing w:before="119" w:line="255" w:lineRule="exact"/>
              <w:ind w:left="749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-259</w:t>
            </w:r>
          </w:p>
        </w:tc>
      </w:tr>
    </w:tbl>
    <w:p w14:paraId="205D2E6F" w14:textId="77777777" w:rsidR="007335FB" w:rsidRPr="00742EFB" w:rsidRDefault="00A870AD">
      <w:pPr>
        <w:pStyle w:val="Odstavecseseznamem"/>
        <w:numPr>
          <w:ilvl w:val="0"/>
          <w:numId w:val="3"/>
        </w:numPr>
        <w:tabs>
          <w:tab w:val="left" w:pos="492"/>
        </w:tabs>
        <w:spacing w:before="132" w:line="205" w:lineRule="exact"/>
        <w:rPr>
          <w:i/>
          <w:sz w:val="16"/>
        </w:rPr>
      </w:pPr>
      <w:r>
        <w:rPr>
          <w:i/>
          <w:color w:val="2C4864"/>
          <w:sz w:val="16"/>
        </w:rPr>
        <w:t>Viz definice ve slovníku pojmů.</w:t>
      </w:r>
    </w:p>
    <w:p w14:paraId="31CB16E4" w14:textId="09930744" w:rsidR="007335FB" w:rsidRPr="00742EFB" w:rsidRDefault="00A870AD">
      <w:pPr>
        <w:pStyle w:val="Odstavecseseznamem"/>
        <w:numPr>
          <w:ilvl w:val="0"/>
          <w:numId w:val="3"/>
        </w:numPr>
        <w:tabs>
          <w:tab w:val="left" w:pos="492"/>
        </w:tabs>
        <w:spacing w:line="205" w:lineRule="exact"/>
        <w:rPr>
          <w:i/>
          <w:sz w:val="16"/>
        </w:rPr>
      </w:pPr>
      <w:r>
        <w:rPr>
          <w:i/>
          <w:color w:val="2C4864"/>
          <w:sz w:val="16"/>
        </w:rPr>
        <w:t xml:space="preserve">Včetně 10 mil. eur dlouhodobých nákladů souvisejících s akvizicí společnosti </w:t>
      </w:r>
      <w:proofErr w:type="spellStart"/>
      <w:r>
        <w:rPr>
          <w:i/>
          <w:color w:val="2C4864"/>
          <w:sz w:val="16"/>
        </w:rPr>
        <w:t>Destia</w:t>
      </w:r>
      <w:proofErr w:type="spellEnd"/>
      <w:r>
        <w:rPr>
          <w:i/>
          <w:color w:val="2C4864"/>
          <w:sz w:val="16"/>
        </w:rPr>
        <w:t xml:space="preserve"> a probíhajícími demontážními pracemi v závodě </w:t>
      </w:r>
      <w:r w:rsidR="00A83EBD">
        <w:rPr>
          <w:i/>
          <w:color w:val="2C4864"/>
          <w:sz w:val="16"/>
        </w:rPr>
        <w:br/>
      </w:r>
      <w:r>
        <w:rPr>
          <w:i/>
          <w:color w:val="2C4864"/>
          <w:sz w:val="16"/>
        </w:rPr>
        <w:t>v</w:t>
      </w:r>
      <w:r w:rsidR="00A83EBD">
        <w:rPr>
          <w:i/>
          <w:color w:val="2C4864"/>
          <w:sz w:val="16"/>
        </w:rPr>
        <w:t xml:space="preserve"> </w:t>
      </w:r>
      <w:proofErr w:type="spellStart"/>
      <w:r>
        <w:rPr>
          <w:i/>
          <w:color w:val="2C4864"/>
          <w:sz w:val="16"/>
        </w:rPr>
        <w:t>Dunkirku</w:t>
      </w:r>
      <w:proofErr w:type="spellEnd"/>
      <w:r>
        <w:rPr>
          <w:i/>
          <w:color w:val="2C4864"/>
          <w:sz w:val="16"/>
        </w:rPr>
        <w:t>.</w:t>
      </w:r>
    </w:p>
    <w:p w14:paraId="5739F601" w14:textId="77777777" w:rsidR="007335FB" w:rsidRPr="00742EFB" w:rsidRDefault="007335FB">
      <w:pPr>
        <w:spacing w:line="205" w:lineRule="exact"/>
        <w:rPr>
          <w:sz w:val="16"/>
        </w:rPr>
        <w:sectPr w:rsidR="007335FB" w:rsidRPr="00742E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360" w:right="640" w:bottom="280" w:left="720" w:header="720" w:footer="720" w:gutter="0"/>
          <w:cols w:space="720"/>
        </w:sectPr>
      </w:pPr>
    </w:p>
    <w:p w14:paraId="659F61A6" w14:textId="575CD381" w:rsidR="007335FB" w:rsidRPr="00742EFB" w:rsidRDefault="00A83EBD">
      <w:pPr>
        <w:pStyle w:val="Nadpis1"/>
        <w:spacing w:before="185"/>
        <w:jc w:val="both"/>
        <w:rPr>
          <w:u w:val="none"/>
        </w:rPr>
      </w:pPr>
      <w:bookmarkStart w:id="1" w:name="Order_backlog"/>
      <w:bookmarkEnd w:id="1"/>
      <w:r>
        <w:rPr>
          <w:color w:val="2C4864"/>
          <w:u w:val="thick" w:color="2C4864"/>
        </w:rPr>
        <w:lastRenderedPageBreak/>
        <w:t>Nasmlouvané zakázky</w:t>
      </w:r>
    </w:p>
    <w:p w14:paraId="2E71FC9D" w14:textId="77777777" w:rsidR="007335FB" w:rsidRPr="00742EFB" w:rsidRDefault="007335FB">
      <w:pPr>
        <w:pStyle w:val="Zkladntext"/>
        <w:spacing w:before="9"/>
        <w:rPr>
          <w:b/>
          <w:sz w:val="20"/>
        </w:rPr>
      </w:pPr>
    </w:p>
    <w:p w14:paraId="65F4EEAC" w14:textId="45098B61" w:rsidR="007335FB" w:rsidRPr="00742EFB" w:rsidRDefault="00A870AD">
      <w:pPr>
        <w:pStyle w:val="Zkladntext"/>
        <w:spacing w:before="1"/>
        <w:ind w:left="132" w:right="205"/>
        <w:jc w:val="both"/>
      </w:pPr>
      <w:r>
        <w:t xml:space="preserve">Objem </w:t>
      </w:r>
      <w:r w:rsidR="00A83EBD">
        <w:t>nasmlouvaných zakázek</w:t>
      </w:r>
      <w:r>
        <w:t xml:space="preserve"> ke konci prosince 2022 činil 11,7 mld. eur, což představuje meziroční nárůst o 9 % (+7 % při konstantních směnných kurzech a bez zahrnutí významných akvizic a prodejů).</w:t>
      </w:r>
    </w:p>
    <w:p w14:paraId="00751BF2" w14:textId="49A8AC81" w:rsidR="007335FB" w:rsidRPr="00742EFB" w:rsidRDefault="00A870AD">
      <w:pPr>
        <w:spacing w:before="120"/>
        <w:ind w:left="132" w:right="206"/>
        <w:jc w:val="both"/>
      </w:pPr>
      <w:r>
        <w:rPr>
          <w:b/>
        </w:rPr>
        <w:t xml:space="preserve">Objem </w:t>
      </w:r>
      <w:r w:rsidR="00A83EBD">
        <w:rPr>
          <w:b/>
        </w:rPr>
        <w:t>nasmlouvaných zakázek</w:t>
      </w:r>
      <w:r>
        <w:rPr>
          <w:b/>
        </w:rPr>
        <w:t xml:space="preserve"> v kontinentální Francii </w:t>
      </w:r>
      <w:r>
        <w:t>činil 3,1 mld. eur a meziročně vzrostl o 3 %, zejména v segmentu silnic, kde byl zaznamenán 5% nárůst.</w:t>
      </w:r>
    </w:p>
    <w:p w14:paraId="27BDD620" w14:textId="7BCF2C62" w:rsidR="007335FB" w:rsidRPr="00742EFB" w:rsidRDefault="00A870AD">
      <w:pPr>
        <w:pStyle w:val="Zkladntext"/>
        <w:spacing w:before="118"/>
        <w:ind w:left="132" w:right="203"/>
        <w:jc w:val="both"/>
      </w:pPr>
      <w:r>
        <w:rPr>
          <w:b/>
        </w:rPr>
        <w:t xml:space="preserve">Objem </w:t>
      </w:r>
      <w:r w:rsidR="00A83EBD">
        <w:rPr>
          <w:b/>
        </w:rPr>
        <w:t>nasmlouvaných zakázek</w:t>
      </w:r>
      <w:r>
        <w:rPr>
          <w:b/>
        </w:rPr>
        <w:t xml:space="preserve"> mezinárodní</w:t>
      </w:r>
      <w:r w:rsidR="00A83EBD">
        <w:rPr>
          <w:b/>
        </w:rPr>
        <w:t>mi</w:t>
      </w:r>
      <w:r>
        <w:rPr>
          <w:b/>
        </w:rPr>
        <w:t xml:space="preserve"> divize</w:t>
      </w:r>
      <w:r w:rsidR="00A83EBD">
        <w:rPr>
          <w:b/>
        </w:rPr>
        <w:t>mi</w:t>
      </w:r>
      <w:r>
        <w:rPr>
          <w:b/>
        </w:rPr>
        <w:t xml:space="preserve"> skupiny a</w:t>
      </w:r>
      <w:r w:rsidR="00A83EBD">
        <w:rPr>
          <w:b/>
        </w:rPr>
        <w:t xml:space="preserve"> regionu</w:t>
      </w:r>
      <w:r>
        <w:rPr>
          <w:b/>
        </w:rPr>
        <w:t xml:space="preserve"> zámořské Francie</w:t>
      </w:r>
      <w:r>
        <w:t xml:space="preserve"> dosáhl 8,6 mld. eur, což představuje meziroční nárůst o 12 % (+9 % při konstantních směnných kurzech a bez zahrnutí významných akvizic a prodejů). Mezi nejvýznamnější události roku 2022 </w:t>
      </w:r>
      <w:proofErr w:type="gramStart"/>
      <w:r>
        <w:t>patří</w:t>
      </w:r>
      <w:proofErr w:type="gramEnd"/>
      <w:r>
        <w:t xml:space="preserve"> </w:t>
      </w:r>
      <w:r w:rsidR="00A83EBD">
        <w:t>získání</w:t>
      </w:r>
      <w:r>
        <w:t xml:space="preserve"> významných </w:t>
      </w:r>
      <w:r w:rsidR="00A83EBD">
        <w:t>zakázek</w:t>
      </w:r>
      <w:r>
        <w:t xml:space="preserve"> společností Colas </w:t>
      </w:r>
      <w:proofErr w:type="spellStart"/>
      <w:r>
        <w:t>Rail</w:t>
      </w:r>
      <w:proofErr w:type="spellEnd"/>
      <w:r>
        <w:t>, například prodloužení tramvajové trati v anglickém Birminghamu za 192 mil. eur, výstavba první fáze linky 4 metra v egyptské Káhiře za 159 mil. eur</w:t>
      </w:r>
      <w:r w:rsidR="00A83EBD">
        <w:t>,</w:t>
      </w:r>
      <w:r w:rsidR="00A83EBD">
        <w:br/>
      </w:r>
      <w:r>
        <w:t xml:space="preserve">a prodloužení smlouvy o spolupráci se společností Network </w:t>
      </w:r>
      <w:proofErr w:type="spellStart"/>
      <w:r>
        <w:t>Rail</w:t>
      </w:r>
      <w:proofErr w:type="spellEnd"/>
      <w:r>
        <w:t xml:space="preserve"> při obnově a modernizaci železniční infrastruktury v jižní Anglii za 540 mil. eur o dalších pět let.</w:t>
      </w:r>
    </w:p>
    <w:p w14:paraId="38CC60D8" w14:textId="7B4D748C" w:rsidR="007335FB" w:rsidRPr="00742EFB" w:rsidRDefault="00A870AD">
      <w:pPr>
        <w:pStyle w:val="Zkladntext"/>
        <w:spacing w:before="121"/>
        <w:ind w:left="132" w:right="203"/>
        <w:jc w:val="both"/>
      </w:pPr>
      <w:r>
        <w:t>Na mezinárodní diviz</w:t>
      </w:r>
      <w:r w:rsidR="00A83EBD">
        <w:t>e</w:t>
      </w:r>
      <w:r>
        <w:t xml:space="preserve"> a </w:t>
      </w:r>
      <w:r w:rsidR="00A83EBD">
        <w:t xml:space="preserve">region </w:t>
      </w:r>
      <w:r>
        <w:t>zámořsk</w:t>
      </w:r>
      <w:r w:rsidR="00A83EBD">
        <w:t>é</w:t>
      </w:r>
      <w:r>
        <w:t xml:space="preserve"> Franci</w:t>
      </w:r>
      <w:r w:rsidR="00A83EBD">
        <w:t>e</w:t>
      </w:r>
      <w:r>
        <w:t xml:space="preserve"> připadá 73 % objemu </w:t>
      </w:r>
      <w:r w:rsidR="00A83EBD">
        <w:t>tržeb</w:t>
      </w:r>
      <w:r>
        <w:t>, zatímco na konci roku 2021 to bylo 72 %.</w:t>
      </w:r>
    </w:p>
    <w:p w14:paraId="13AC0DEF" w14:textId="77777777" w:rsidR="007335FB" w:rsidRPr="00742EFB" w:rsidRDefault="007335FB">
      <w:pPr>
        <w:pStyle w:val="Zkladntext"/>
        <w:rPr>
          <w:sz w:val="24"/>
        </w:rPr>
      </w:pPr>
    </w:p>
    <w:p w14:paraId="4A9F4252" w14:textId="77777777" w:rsidR="007335FB" w:rsidRPr="00742EFB" w:rsidRDefault="007335FB">
      <w:pPr>
        <w:pStyle w:val="Zkladntext"/>
        <w:spacing w:before="4"/>
        <w:rPr>
          <w:sz w:val="29"/>
        </w:rPr>
      </w:pPr>
    </w:p>
    <w:p w14:paraId="5AC01BFA" w14:textId="2518BF8A" w:rsidR="007335FB" w:rsidRPr="00742EFB" w:rsidRDefault="00A83EBD">
      <w:pPr>
        <w:pStyle w:val="Nadpis1"/>
        <w:rPr>
          <w:u w:val="none"/>
        </w:rPr>
      </w:pPr>
      <w:bookmarkStart w:id="2" w:name="Revenue"/>
      <w:bookmarkEnd w:id="2"/>
      <w:r>
        <w:rPr>
          <w:color w:val="2C4864"/>
          <w:u w:val="thick" w:color="2C4864"/>
        </w:rPr>
        <w:t>Tržby</w:t>
      </w:r>
    </w:p>
    <w:p w14:paraId="16FE3E02" w14:textId="6E326B31" w:rsidR="007335FB" w:rsidRPr="00742EFB" w:rsidRDefault="00A870AD">
      <w:pPr>
        <w:pStyle w:val="Zkladntext"/>
        <w:spacing w:before="179"/>
        <w:ind w:left="132" w:right="195"/>
        <w:jc w:val="both"/>
      </w:pPr>
      <w:r>
        <w:t xml:space="preserve">Konsolidované </w:t>
      </w:r>
      <w:r w:rsidR="00A83EBD">
        <w:t>tržby</w:t>
      </w:r>
      <w:r>
        <w:t xml:space="preserve"> za rok 2022 dosáhly 15,5 mld. eur, což je o 17 % více než v roce 2021 (+9 % při konstantním rozsahu </w:t>
      </w:r>
      <w:r w:rsidR="003E466C">
        <w:t xml:space="preserve">konsolidace </w:t>
      </w:r>
      <w:r>
        <w:t xml:space="preserve">a konstantních směnných kurzech). </w:t>
      </w:r>
      <w:r w:rsidR="003E466C">
        <w:t>Tržby</w:t>
      </w:r>
      <w:r>
        <w:t xml:space="preserve"> dosáhly 6,2 mld. eur ve Francii (meziroční nárůst +3 %) a 9,3 mld. eur na mezinárodní úrovni (+14 % při konstantním rozsahu </w:t>
      </w:r>
      <w:r w:rsidR="003E466C">
        <w:t xml:space="preserve">konsolidace </w:t>
      </w:r>
      <w:r>
        <w:t>a konstantních směnných kurzech).</w:t>
      </w:r>
    </w:p>
    <w:p w14:paraId="329D93B1" w14:textId="066C7F76" w:rsidR="007335FB" w:rsidRPr="00742EFB" w:rsidRDefault="003E466C">
      <w:pPr>
        <w:spacing w:before="181"/>
        <w:ind w:left="132"/>
        <w:rPr>
          <w:b/>
          <w:sz w:val="24"/>
        </w:rPr>
      </w:pPr>
      <w:bookmarkStart w:id="3" w:name="Roads:"/>
      <w:bookmarkEnd w:id="3"/>
      <w:r>
        <w:rPr>
          <w:b/>
          <w:sz w:val="24"/>
          <w:u w:val="thick"/>
        </w:rPr>
        <w:t>Silniční stavby</w:t>
      </w:r>
      <w:r w:rsidR="00A870AD">
        <w:rPr>
          <w:b/>
          <w:sz w:val="24"/>
          <w:u w:val="thick"/>
        </w:rPr>
        <w:t>:</w:t>
      </w:r>
    </w:p>
    <w:p w14:paraId="6237B348" w14:textId="537C3A11" w:rsidR="007335FB" w:rsidRPr="00742EFB" w:rsidRDefault="00A870AD">
      <w:pPr>
        <w:pStyle w:val="Zkladntext"/>
        <w:spacing w:before="179"/>
        <w:ind w:left="132" w:right="199"/>
        <w:jc w:val="both"/>
      </w:pPr>
      <w:r>
        <w:t xml:space="preserve">V roce 2022 dosáhl segment </w:t>
      </w:r>
      <w:r w:rsidR="003E466C">
        <w:t>silničních staveb tržeb</w:t>
      </w:r>
      <w:r>
        <w:t xml:space="preserve"> ve výši 14,2 mld. eur, což je při konstantním rozsahu </w:t>
      </w:r>
      <w:r w:rsidR="003E466C">
        <w:t xml:space="preserve">konsolidace </w:t>
      </w:r>
      <w:r>
        <w:t>a konstantních směnných kurzech o 10 % více než v roce 2021:</w:t>
      </w:r>
    </w:p>
    <w:p w14:paraId="0DE5C406" w14:textId="31F711C3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5"/>
        </w:tabs>
        <w:spacing w:before="125" w:line="237" w:lineRule="auto"/>
        <w:ind w:right="199"/>
        <w:jc w:val="both"/>
        <w:rPr>
          <w:rFonts w:ascii="Symbol" w:hAnsi="Symbol"/>
          <w:color w:val="2C4864"/>
        </w:rPr>
      </w:pPr>
      <w:r>
        <w:t xml:space="preserve">V </w:t>
      </w:r>
      <w:r w:rsidR="003E466C">
        <w:t>oblasti</w:t>
      </w:r>
      <w:r>
        <w:t xml:space="preserve"> Francie – Indický oceán došlo k nárůstu </w:t>
      </w:r>
      <w:r w:rsidR="003E466C">
        <w:t>tržeb</w:t>
      </w:r>
      <w:r>
        <w:t xml:space="preserve"> o 4 % i přes rostoucí ceny a klesající objemy pro průmyslovou výrobu.</w:t>
      </w:r>
    </w:p>
    <w:p w14:paraId="429DDF1D" w14:textId="05EC5371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5"/>
        </w:tabs>
        <w:spacing w:before="123" w:line="237" w:lineRule="auto"/>
        <w:ind w:right="201"/>
        <w:jc w:val="both"/>
        <w:rPr>
          <w:rFonts w:ascii="Symbol" w:hAnsi="Symbol"/>
          <w:color w:val="2C4864"/>
        </w:rPr>
      </w:pPr>
      <w:r>
        <w:t xml:space="preserve">V </w:t>
      </w:r>
      <w:r w:rsidR="003E466C">
        <w:t>oblasti</w:t>
      </w:r>
      <w:r>
        <w:t xml:space="preserve"> EMEA (Evropa, Střední východ, Afrika) vzrostly </w:t>
      </w:r>
      <w:r w:rsidR="003E466C">
        <w:t>tržby</w:t>
      </w:r>
      <w:r>
        <w:t xml:space="preserve"> o 16 % při konstantním rozsahu </w:t>
      </w:r>
      <w:r w:rsidR="003E466C">
        <w:t xml:space="preserve">konsolidace </w:t>
      </w:r>
      <w:r>
        <w:t xml:space="preserve">a konstantních směnných kurzech. Inflace je vysoká zejména v zemích střední Evropy. Podíl společnosti </w:t>
      </w:r>
      <w:proofErr w:type="spellStart"/>
      <w:r>
        <w:t>Destia</w:t>
      </w:r>
      <w:proofErr w:type="spellEnd"/>
      <w:r>
        <w:t xml:space="preserve"> přesahuje 600 mil. eur za rok.</w:t>
      </w:r>
    </w:p>
    <w:p w14:paraId="3D853992" w14:textId="6F0EE53A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5"/>
        </w:tabs>
        <w:spacing w:before="125" w:line="237" w:lineRule="auto"/>
        <w:ind w:right="200"/>
        <w:jc w:val="both"/>
        <w:rPr>
          <w:rFonts w:ascii="Symbol" w:hAnsi="Symbol"/>
          <w:color w:val="2C4864"/>
        </w:rPr>
      </w:pPr>
      <w:r>
        <w:t xml:space="preserve">Ve Spojených státech vzrostly </w:t>
      </w:r>
      <w:r w:rsidR="004D3A21">
        <w:t>tržby</w:t>
      </w:r>
      <w:r>
        <w:t xml:space="preserve"> při konstantním rozsahu </w:t>
      </w:r>
      <w:r w:rsidR="004D3A21">
        <w:t xml:space="preserve">konsolidace </w:t>
      </w:r>
      <w:r>
        <w:t>a konstantních směnných kurzech o 16 % v důsledku inflace, zejména v segmentu průmyslové výroby.</w:t>
      </w:r>
    </w:p>
    <w:p w14:paraId="3AFE6E4E" w14:textId="17DB39B5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5"/>
        </w:tabs>
        <w:spacing w:before="124" w:line="237" w:lineRule="auto"/>
        <w:ind w:right="199"/>
        <w:jc w:val="both"/>
        <w:rPr>
          <w:rFonts w:ascii="Symbol" w:hAnsi="Symbol"/>
          <w:color w:val="2C4864"/>
        </w:rPr>
      </w:pPr>
      <w:r>
        <w:t xml:space="preserve">V Kanadě vzrostly </w:t>
      </w:r>
      <w:r w:rsidR="00174241">
        <w:t>tržby</w:t>
      </w:r>
      <w:r>
        <w:t xml:space="preserve"> o 12 % při konstantním rozsahu</w:t>
      </w:r>
      <w:r w:rsidR="00174241">
        <w:t xml:space="preserve"> konsolidace</w:t>
      </w:r>
      <w:r>
        <w:t xml:space="preserve"> a konstantních směnných kurzech, zejména díky zvýšení cen asfaltu prodávaného společností </w:t>
      </w:r>
      <w:proofErr w:type="spellStart"/>
      <w:r>
        <w:t>McAsphalt</w:t>
      </w:r>
      <w:proofErr w:type="spellEnd"/>
      <w:r>
        <w:t>.</w:t>
      </w:r>
    </w:p>
    <w:p w14:paraId="4DDA7F20" w14:textId="7DE926FB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5"/>
        </w:tabs>
        <w:spacing w:before="121"/>
        <w:jc w:val="both"/>
        <w:rPr>
          <w:rFonts w:ascii="Symbol" w:hAnsi="Symbol"/>
          <w:color w:val="2C4864"/>
        </w:rPr>
      </w:pPr>
      <w:bookmarkStart w:id="4" w:name="Railways_&amp;_Other_Activities:"/>
      <w:bookmarkEnd w:id="4"/>
      <w:r>
        <w:t xml:space="preserve">V </w:t>
      </w:r>
      <w:proofErr w:type="spellStart"/>
      <w:proofErr w:type="gramStart"/>
      <w:r>
        <w:t>asijsko</w:t>
      </w:r>
      <w:proofErr w:type="spellEnd"/>
      <w:r>
        <w:t>–tichomořské</w:t>
      </w:r>
      <w:proofErr w:type="gramEnd"/>
      <w:r>
        <w:t xml:space="preserve"> </w:t>
      </w:r>
      <w:r w:rsidR="00795259">
        <w:t>oblasti</w:t>
      </w:r>
      <w:r>
        <w:t xml:space="preserve"> vzrostly tržby o 22 % při konstantním rozsahu</w:t>
      </w:r>
      <w:r w:rsidR="000C6E92">
        <w:t xml:space="preserve"> konsolidace</w:t>
      </w:r>
      <w:r>
        <w:t xml:space="preserve"> </w:t>
      </w:r>
      <w:r w:rsidR="000C6E92">
        <w:br/>
      </w:r>
      <w:r>
        <w:t>a konstantních směnných kurzech.</w:t>
      </w:r>
    </w:p>
    <w:p w14:paraId="524BD1D4" w14:textId="799D276D" w:rsidR="007335FB" w:rsidRPr="00742EFB" w:rsidRDefault="00166CB4">
      <w:pPr>
        <w:spacing w:before="178"/>
        <w:ind w:left="132"/>
        <w:rPr>
          <w:b/>
          <w:sz w:val="24"/>
        </w:rPr>
      </w:pPr>
      <w:r w:rsidRPr="00166CB4">
        <w:rPr>
          <w:b/>
          <w:sz w:val="24"/>
          <w:u w:val="thick"/>
        </w:rPr>
        <w:t>Železniční stavby a další specializované činnosti:</w:t>
      </w:r>
    </w:p>
    <w:p w14:paraId="41BD9EBD" w14:textId="02C19B49" w:rsidR="007335FB" w:rsidRPr="00742EFB" w:rsidRDefault="00A870AD" w:rsidP="004D72E2">
      <w:pPr>
        <w:pStyle w:val="Zkladntext"/>
        <w:spacing w:before="180"/>
        <w:ind w:left="132"/>
        <w:jc w:val="both"/>
      </w:pPr>
      <w:r>
        <w:t>Železni</w:t>
      </w:r>
      <w:r w:rsidR="00166CB4">
        <w:t xml:space="preserve">ční stavby a další specializované </w:t>
      </w:r>
      <w:r w:rsidR="002E4D2E">
        <w:t>činnosti</w:t>
      </w:r>
      <w:r>
        <w:t xml:space="preserve"> ve srovnání s rokem 2021 vykázaly 2% nárůst </w:t>
      </w:r>
      <w:r w:rsidR="002E4D2E">
        <w:t>tržeb</w:t>
      </w:r>
      <w:r>
        <w:t xml:space="preserve"> při konstantním rozsahu </w:t>
      </w:r>
      <w:r w:rsidR="004D72E2">
        <w:t xml:space="preserve">konsolidace </w:t>
      </w:r>
      <w:r>
        <w:t xml:space="preserve">a konstantních směnných kurzech, k čemuž přispěly aktivity společnosti Colas </w:t>
      </w:r>
      <w:proofErr w:type="spellStart"/>
      <w:r>
        <w:t>Rail</w:t>
      </w:r>
      <w:proofErr w:type="spellEnd"/>
      <w:r>
        <w:t xml:space="preserve"> mimo Francii.</w:t>
      </w:r>
    </w:p>
    <w:p w14:paraId="227F81A4" w14:textId="77777777" w:rsidR="007335FB" w:rsidRPr="00742EFB" w:rsidRDefault="007335FB">
      <w:pPr>
        <w:pStyle w:val="Zkladntext"/>
        <w:rPr>
          <w:sz w:val="24"/>
        </w:rPr>
      </w:pPr>
    </w:p>
    <w:p w14:paraId="7CC401F9" w14:textId="520E474D" w:rsidR="007335FB" w:rsidRPr="00742EFB" w:rsidRDefault="00A870AD">
      <w:pPr>
        <w:pStyle w:val="Nadpis1"/>
        <w:rPr>
          <w:u w:val="none"/>
        </w:rPr>
      </w:pPr>
      <w:r>
        <w:rPr>
          <w:color w:val="2C4864"/>
          <w:u w:val="thick" w:color="2C4864"/>
        </w:rPr>
        <w:t xml:space="preserve">Nový ukazatel </w:t>
      </w:r>
      <w:r w:rsidR="00296A49">
        <w:rPr>
          <w:color w:val="2C4864"/>
          <w:u w:val="thick" w:color="2C4864"/>
        </w:rPr>
        <w:t>výsledků hospodaření</w:t>
      </w:r>
    </w:p>
    <w:p w14:paraId="068C9A7B" w14:textId="77777777" w:rsidR="007335FB" w:rsidRPr="00742EFB" w:rsidRDefault="007335FB">
      <w:pPr>
        <w:pStyle w:val="Zkladntext"/>
        <w:spacing w:before="10"/>
        <w:rPr>
          <w:b/>
          <w:sz w:val="20"/>
        </w:rPr>
      </w:pPr>
    </w:p>
    <w:p w14:paraId="5B0F1F3F" w14:textId="69C64C92" w:rsidR="007335FB" w:rsidRPr="00742EFB" w:rsidRDefault="00A870AD">
      <w:pPr>
        <w:pStyle w:val="Zkladntext"/>
        <w:ind w:left="132" w:right="203"/>
        <w:jc w:val="both"/>
      </w:pPr>
      <w:r>
        <w:t>V důsledku akvizic jsou prováděny odpisy aktiv vykazovaných v procesu alokace kupní ceny (</w:t>
      </w:r>
      <w:proofErr w:type="spellStart"/>
      <w:r>
        <w:t>Purchase</w:t>
      </w:r>
      <w:proofErr w:type="spellEnd"/>
      <w:r>
        <w:t xml:space="preserve"> Price </w:t>
      </w:r>
      <w:proofErr w:type="spellStart"/>
      <w:r>
        <w:t>Allocation</w:t>
      </w:r>
      <w:proofErr w:type="spellEnd"/>
      <w:r>
        <w:t xml:space="preserve">, PPA). V důsledku toho bude společnost Colas v zájmu poskytnutí přesného přehledu </w:t>
      </w:r>
      <w:r w:rsidR="009E701E">
        <w:br/>
      </w:r>
      <w:r>
        <w:t xml:space="preserve">o provozní výkonnosti skupiny vykazovat nový finanční ukazatel </w:t>
      </w:r>
      <w:r>
        <w:rPr>
          <w:b/>
        </w:rPr>
        <w:t>„provozní zisk z</w:t>
      </w:r>
      <w:r w:rsidR="009E701E">
        <w:rPr>
          <w:b/>
        </w:rPr>
        <w:t xml:space="preserve"> běžné </w:t>
      </w:r>
      <w:r>
        <w:rPr>
          <w:b/>
        </w:rPr>
        <w:t>činnosti</w:t>
      </w:r>
      <w:r w:rsidR="000075D2">
        <w:rPr>
          <w:b/>
        </w:rPr>
        <w:t>“</w:t>
      </w:r>
      <w:r>
        <w:t xml:space="preserve"> (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profit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r>
        <w:rPr>
          <w:b/>
        </w:rPr>
        <w:t>COPA</w:t>
      </w:r>
      <w:r>
        <w:t>), který se rovná běžnému provoznímu zisku před odpisy nehmotných aktiv vykázaných z akvizic.</w:t>
      </w:r>
    </w:p>
    <w:p w14:paraId="6E2EA76C" w14:textId="77777777" w:rsidR="007335FB" w:rsidRPr="00742EFB" w:rsidRDefault="007335FB">
      <w:pPr>
        <w:jc w:val="both"/>
        <w:sectPr w:rsidR="007335FB" w:rsidRPr="00742EFB">
          <w:headerReference w:type="default" r:id="rId15"/>
          <w:footerReference w:type="default" r:id="rId16"/>
          <w:pgSz w:w="11910" w:h="16840"/>
          <w:pgMar w:top="1220" w:right="640" w:bottom="660" w:left="720" w:header="202" w:footer="465" w:gutter="0"/>
          <w:pgNumType w:start="2"/>
          <w:cols w:space="720"/>
        </w:sectPr>
      </w:pPr>
    </w:p>
    <w:p w14:paraId="1B2F7F4A" w14:textId="77777777" w:rsidR="0004243A" w:rsidRDefault="0004243A">
      <w:pPr>
        <w:pStyle w:val="Zkladntext"/>
        <w:spacing w:before="185"/>
        <w:ind w:left="132" w:right="204"/>
        <w:jc w:val="both"/>
      </w:pPr>
    </w:p>
    <w:p w14:paraId="0ED9DDE3" w14:textId="3CC9B0F3" w:rsidR="007335FB" w:rsidRPr="00742EFB" w:rsidRDefault="00A870AD">
      <w:pPr>
        <w:pStyle w:val="Zkladntext"/>
        <w:spacing w:before="185"/>
        <w:ind w:left="132" w:right="204"/>
        <w:jc w:val="both"/>
      </w:pPr>
      <w:r>
        <w:t xml:space="preserve">Nový ukazatel nahradí běžný provozní zisk ve finančních </w:t>
      </w:r>
      <w:r w:rsidR="00A55692">
        <w:t>údajích</w:t>
      </w:r>
      <w:r>
        <w:t xml:space="preserve"> skupiny počínaje hospodářským rokem 2023. Ukazatel „běžný provozní zisk“ bude i nadále uváděn jako řádková položka v účetní závěrce a finanční publikace vydávané skupinou budou obsahovat tabulku pro srovnání ukazatelů „provozní zisk z</w:t>
      </w:r>
      <w:r w:rsidR="00DC1775">
        <w:t xml:space="preserve"> běžné </w:t>
      </w:r>
      <w:r>
        <w:t>činnosti“ a „běžný provozní zisk“.</w:t>
      </w:r>
    </w:p>
    <w:p w14:paraId="5722067C" w14:textId="77777777" w:rsidR="007335FB" w:rsidRPr="00742EFB" w:rsidRDefault="007335FB">
      <w:pPr>
        <w:pStyle w:val="Zkladntext"/>
        <w:rPr>
          <w:sz w:val="24"/>
        </w:rPr>
      </w:pPr>
    </w:p>
    <w:p w14:paraId="4F5FA5A7" w14:textId="77777777" w:rsidR="007335FB" w:rsidRPr="00742EFB" w:rsidRDefault="007335FB">
      <w:pPr>
        <w:pStyle w:val="Zkladntext"/>
        <w:spacing w:before="1"/>
        <w:rPr>
          <w:sz w:val="20"/>
        </w:rPr>
      </w:pPr>
    </w:p>
    <w:p w14:paraId="2362D302" w14:textId="2155F9D3" w:rsidR="007335FB" w:rsidRPr="00742EFB" w:rsidRDefault="00DC1775">
      <w:pPr>
        <w:pStyle w:val="Nadpis1"/>
        <w:spacing w:before="1"/>
        <w:jc w:val="both"/>
        <w:rPr>
          <w:u w:val="none"/>
        </w:rPr>
      </w:pPr>
      <w:bookmarkStart w:id="5" w:name="Financial_performance"/>
      <w:bookmarkEnd w:id="5"/>
      <w:r>
        <w:rPr>
          <w:color w:val="2C4864"/>
          <w:u w:val="thick" w:color="2C4864"/>
        </w:rPr>
        <w:t>Výsledky hospodaření</w:t>
      </w:r>
    </w:p>
    <w:p w14:paraId="2145B750" w14:textId="77777777" w:rsidR="007335FB" w:rsidRPr="00742EFB" w:rsidRDefault="007335FB">
      <w:pPr>
        <w:pStyle w:val="Zkladntext"/>
        <w:spacing w:before="9"/>
        <w:rPr>
          <w:b/>
          <w:sz w:val="20"/>
        </w:rPr>
      </w:pPr>
    </w:p>
    <w:p w14:paraId="0A964BC3" w14:textId="19A97A46" w:rsidR="007335FB" w:rsidRPr="00742EFB" w:rsidRDefault="00296A49">
      <w:pPr>
        <w:pStyle w:val="Zkladntext"/>
        <w:ind w:left="132" w:right="204"/>
        <w:jc w:val="both"/>
      </w:pPr>
      <w:r>
        <w:rPr>
          <w:b/>
        </w:rPr>
        <w:t>P</w:t>
      </w:r>
      <w:r w:rsidR="00A870AD">
        <w:rPr>
          <w:b/>
        </w:rPr>
        <w:t>rovozní zisk z</w:t>
      </w:r>
      <w:r>
        <w:rPr>
          <w:b/>
        </w:rPr>
        <w:t xml:space="preserve"> běžné </w:t>
      </w:r>
      <w:r w:rsidR="00A870AD">
        <w:rPr>
          <w:b/>
        </w:rPr>
        <w:t xml:space="preserve">činnosti (COPA) </w:t>
      </w:r>
      <w:r w:rsidR="00A870AD">
        <w:t xml:space="preserve">dosáhl 468 mil. eur, což je o 21 mil. eur více než v roce 2021. To odpovídá běžnému provoznímu zisku před odpisy nehmotných aktiv vykázaných z akvizic ve výši 8 mil. eur, z čehož 7 mil. eur připadá na akvizici společnosti Miller </w:t>
      </w:r>
      <w:proofErr w:type="spellStart"/>
      <w:r w:rsidR="00A870AD">
        <w:t>McAsphalt</w:t>
      </w:r>
      <w:proofErr w:type="spellEnd"/>
      <w:r w:rsidR="00A870AD">
        <w:t>. Ve 4. čtvrtletí pokračovalo provádění akčních plánů s cílem vyrovnat dopad inflace (vyšší ceny materiálů, úpravy cen atd.). Ukazatel COPA za 2. pololetí roku 2022 je tedy o 79 mil. eur vyšší než v 2. pololetí roku 2021. Uvedené zahrnuje 40 mil. eur za 4. čtvrtletí.</w:t>
      </w:r>
    </w:p>
    <w:p w14:paraId="42E52732" w14:textId="77777777" w:rsidR="007335FB" w:rsidRPr="00742EFB" w:rsidRDefault="007335FB">
      <w:pPr>
        <w:pStyle w:val="Zkladntext"/>
        <w:rPr>
          <w:sz w:val="21"/>
        </w:rPr>
      </w:pPr>
    </w:p>
    <w:p w14:paraId="6C1D7B35" w14:textId="77777777" w:rsidR="007335FB" w:rsidRPr="00742EFB" w:rsidRDefault="00A870AD">
      <w:pPr>
        <w:spacing w:line="355" w:lineRule="auto"/>
        <w:ind w:left="132" w:right="2502"/>
      </w:pPr>
      <w:r>
        <w:rPr>
          <w:b/>
        </w:rPr>
        <w:t xml:space="preserve">Běžný provozní zisk </w:t>
      </w:r>
      <w:r>
        <w:t xml:space="preserve">činil 460 mil. eur, což je o 20 mil. eur více než v roce 2021. </w:t>
      </w:r>
      <w:r>
        <w:rPr>
          <w:b/>
        </w:rPr>
        <w:t xml:space="preserve">Provozní zisk </w:t>
      </w:r>
      <w:r>
        <w:t xml:space="preserve">činil 460 mil. eur, což je o 30 mil. eur více než v roce 2021. </w:t>
      </w:r>
      <w:r>
        <w:rPr>
          <w:b/>
        </w:rPr>
        <w:t xml:space="preserve">Finanční výsledek </w:t>
      </w:r>
      <w:r>
        <w:t>činil -68 mil. eur (-41 mil. eur v roce 2021).</w:t>
      </w:r>
    </w:p>
    <w:p w14:paraId="420C9C7C" w14:textId="17FFD2B5" w:rsidR="007335FB" w:rsidRPr="00742EFB" w:rsidRDefault="00A870AD">
      <w:pPr>
        <w:ind w:left="132"/>
      </w:pPr>
      <w:r>
        <w:t xml:space="preserve">Podíl </w:t>
      </w:r>
      <w:r w:rsidR="005E428F">
        <w:rPr>
          <w:b/>
          <w:bCs/>
        </w:rPr>
        <w:t>sdružení a konsorcií</w:t>
      </w:r>
      <w:r>
        <w:rPr>
          <w:b/>
          <w:bCs/>
        </w:rPr>
        <w:t xml:space="preserve"> na </w:t>
      </w:r>
      <w:r>
        <w:rPr>
          <w:b/>
        </w:rPr>
        <w:t xml:space="preserve">čistém zisku </w:t>
      </w:r>
      <w:r>
        <w:t>činil 49 mil. eur, což je o 27 mil. eur více než v roce 2021.</w:t>
      </w:r>
    </w:p>
    <w:p w14:paraId="78DC212D" w14:textId="77777777" w:rsidR="007335FB" w:rsidRPr="00742EFB" w:rsidRDefault="00A870AD">
      <w:pPr>
        <w:spacing w:before="115"/>
        <w:ind w:left="132"/>
      </w:pPr>
      <w:r>
        <w:rPr>
          <w:b/>
        </w:rPr>
        <w:t xml:space="preserve">Čistý zisk připadající na skupinu </w:t>
      </w:r>
      <w:r>
        <w:t>dosáhl 301 mil. eur, což je o 40 mil. eur více než v roce 2021.</w:t>
      </w:r>
    </w:p>
    <w:p w14:paraId="2FF1BD46" w14:textId="77777777" w:rsidR="007335FB" w:rsidRPr="00742EFB" w:rsidRDefault="007335FB">
      <w:pPr>
        <w:pStyle w:val="Zkladntext"/>
        <w:rPr>
          <w:sz w:val="24"/>
        </w:rPr>
      </w:pPr>
    </w:p>
    <w:p w14:paraId="67F6FF11" w14:textId="77777777" w:rsidR="007335FB" w:rsidRPr="00742EFB" w:rsidRDefault="007335FB">
      <w:pPr>
        <w:pStyle w:val="Zkladntext"/>
        <w:spacing w:before="5"/>
        <w:rPr>
          <w:sz w:val="29"/>
        </w:rPr>
      </w:pPr>
    </w:p>
    <w:p w14:paraId="09A42AD0" w14:textId="77777777" w:rsidR="007335FB" w:rsidRPr="00742EFB" w:rsidRDefault="00A870AD">
      <w:pPr>
        <w:pStyle w:val="Nadpis1"/>
        <w:rPr>
          <w:u w:val="none"/>
        </w:rPr>
      </w:pPr>
      <w:bookmarkStart w:id="6" w:name="Net_debt"/>
      <w:bookmarkEnd w:id="6"/>
      <w:r>
        <w:rPr>
          <w:color w:val="2C4864"/>
          <w:u w:val="thick" w:color="2C4864"/>
        </w:rPr>
        <w:t>Čistý dluh</w:t>
      </w:r>
    </w:p>
    <w:p w14:paraId="7A0B15CC" w14:textId="77777777" w:rsidR="007335FB" w:rsidRPr="00742EFB" w:rsidRDefault="007335FB">
      <w:pPr>
        <w:pStyle w:val="Zkladntext"/>
        <w:spacing w:before="9"/>
        <w:rPr>
          <w:b/>
          <w:sz w:val="20"/>
        </w:rPr>
      </w:pPr>
    </w:p>
    <w:p w14:paraId="165021B5" w14:textId="77777777" w:rsidR="007335FB" w:rsidRPr="00742EFB" w:rsidRDefault="00A870AD">
      <w:pPr>
        <w:pStyle w:val="Zkladntext"/>
        <w:spacing w:before="1"/>
        <w:ind w:left="132" w:right="206"/>
        <w:jc w:val="both"/>
      </w:pPr>
      <w:r>
        <w:t>Čistý dluh ke konci prosince 2022 činil 292 mil. eur, zatímco ke konci prosince 2021 činil čistý dluh 33 mil. eur.</w:t>
      </w:r>
    </w:p>
    <w:p w14:paraId="1B29D421" w14:textId="77777777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5"/>
        </w:tabs>
        <w:spacing w:before="119"/>
        <w:jc w:val="both"/>
        <w:rPr>
          <w:rFonts w:ascii="Symbol" w:hAnsi="Symbol"/>
        </w:rPr>
      </w:pPr>
      <w:r>
        <w:rPr>
          <w:b/>
        </w:rPr>
        <w:t xml:space="preserve">Volný peněžní tok </w:t>
      </w:r>
      <w:r>
        <w:t>činil 287 mil. eur, zatímco v roce 2021 to bylo 358 mil. eur.</w:t>
      </w:r>
    </w:p>
    <w:p w14:paraId="2EBBB262" w14:textId="67ED8CD3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5"/>
        </w:tabs>
        <w:spacing w:before="122" w:line="237" w:lineRule="auto"/>
        <w:ind w:right="205"/>
        <w:jc w:val="both"/>
        <w:rPr>
          <w:rFonts w:ascii="Symbol" w:hAnsi="Symbol"/>
        </w:rPr>
      </w:pPr>
      <w:r>
        <w:rPr>
          <w:b/>
        </w:rPr>
        <w:t xml:space="preserve">Změna požadavků na </w:t>
      </w:r>
      <w:r w:rsidR="00F267C1">
        <w:rPr>
          <w:b/>
        </w:rPr>
        <w:t>provozní</w:t>
      </w:r>
      <w:r>
        <w:rPr>
          <w:b/>
        </w:rPr>
        <w:t xml:space="preserve"> kapitál </w:t>
      </w:r>
      <w:r>
        <w:t>činila -251 mil. eur (-140 mil. eur v roce 2021), což odráží zejména zvýšení hodnoty zásob v souvislosti s rostoucími cenami materiálu a také nárůst pohledávek.</w:t>
      </w:r>
    </w:p>
    <w:p w14:paraId="71B71C83" w14:textId="77777777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5"/>
        </w:tabs>
        <w:spacing w:before="123"/>
        <w:ind w:right="204"/>
        <w:jc w:val="both"/>
        <w:rPr>
          <w:rFonts w:ascii="Symbol" w:hAnsi="Symbol"/>
        </w:rPr>
      </w:pPr>
      <w:r>
        <w:rPr>
          <w:b/>
        </w:rPr>
        <w:t xml:space="preserve">Peněžní toky z investiční činnosti </w:t>
      </w:r>
      <w:r>
        <w:t xml:space="preserve">činily 91 mil. eur, což je o 125 mil. eur méně než v roce 2021. V roce 2022 koupila společnost Colas německou firmu </w:t>
      </w:r>
      <w:proofErr w:type="spellStart"/>
      <w:r>
        <w:t>Hasselmann</w:t>
      </w:r>
      <w:proofErr w:type="spellEnd"/>
      <w:r>
        <w:t xml:space="preserve"> Group, která se specializuje na výstavbu železnic a železniční infrastruktury. Připomeňme, že rok 2021 zahrnoval akvizici společnosti </w:t>
      </w:r>
      <w:proofErr w:type="spellStart"/>
      <w:r>
        <w:t>Destia</w:t>
      </w:r>
      <w:proofErr w:type="spellEnd"/>
      <w:r>
        <w:t xml:space="preserve"> ve Finsku za 222 mil. eur (bez nákladů na akvizici).</w:t>
      </w:r>
    </w:p>
    <w:p w14:paraId="18CDAF4D" w14:textId="77777777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5"/>
        </w:tabs>
        <w:spacing w:before="119"/>
        <w:jc w:val="both"/>
        <w:rPr>
          <w:rFonts w:ascii="Symbol" w:hAnsi="Symbol"/>
        </w:rPr>
      </w:pPr>
      <w:r>
        <w:t xml:space="preserve">Vyplacené </w:t>
      </w:r>
      <w:r>
        <w:rPr>
          <w:b/>
        </w:rPr>
        <w:t xml:space="preserve">dividendy </w:t>
      </w:r>
      <w:r>
        <w:t>dosáhly 228 mil. eur, což je o 132 mil. eur více než v roce 2021.</w:t>
      </w:r>
    </w:p>
    <w:p w14:paraId="25CACB0E" w14:textId="77777777" w:rsidR="007335FB" w:rsidRPr="00742EFB" w:rsidRDefault="00A870AD">
      <w:pPr>
        <w:pStyle w:val="Zkladntext"/>
        <w:spacing w:before="117"/>
        <w:ind w:left="132" w:right="205"/>
        <w:jc w:val="both"/>
      </w:pPr>
      <w:r>
        <w:t>Vlastní kapitál ke konci prosince 2022 činil 3,2 mld. eur, zatímco na konci prosince 2021 to bylo 3,0 mld. eur. Finanční situace společnosti Colas je stabilní a čistá míra zadlužení na konci roku dosahovala 9 %.</w:t>
      </w:r>
    </w:p>
    <w:p w14:paraId="6FDCA6C2" w14:textId="77777777" w:rsidR="007335FB" w:rsidRPr="00742EFB" w:rsidRDefault="007335FB">
      <w:pPr>
        <w:pStyle w:val="Zkladntext"/>
        <w:rPr>
          <w:sz w:val="24"/>
        </w:rPr>
      </w:pPr>
    </w:p>
    <w:p w14:paraId="7EF65609" w14:textId="77777777" w:rsidR="007335FB" w:rsidRPr="00742EFB" w:rsidRDefault="007335FB">
      <w:pPr>
        <w:pStyle w:val="Zkladntext"/>
        <w:spacing w:before="4"/>
        <w:rPr>
          <w:sz w:val="31"/>
        </w:rPr>
      </w:pPr>
    </w:p>
    <w:p w14:paraId="4B4F9752" w14:textId="77777777" w:rsidR="007335FB" w:rsidRPr="00742EFB" w:rsidRDefault="00A870AD">
      <w:pPr>
        <w:pStyle w:val="Nadpis1"/>
        <w:rPr>
          <w:u w:val="none"/>
        </w:rPr>
      </w:pPr>
      <w:bookmarkStart w:id="7" w:name="Dividends"/>
      <w:bookmarkEnd w:id="7"/>
      <w:r>
        <w:rPr>
          <w:color w:val="2C4864"/>
          <w:u w:val="thick" w:color="2C4864"/>
        </w:rPr>
        <w:t>Dividendy</w:t>
      </w:r>
    </w:p>
    <w:p w14:paraId="476D0EF6" w14:textId="77777777" w:rsidR="007335FB" w:rsidRPr="00742EFB" w:rsidRDefault="007335FB">
      <w:pPr>
        <w:pStyle w:val="Zkladntext"/>
        <w:spacing w:before="10"/>
        <w:rPr>
          <w:b/>
          <w:sz w:val="20"/>
        </w:rPr>
      </w:pPr>
    </w:p>
    <w:p w14:paraId="3DE3DBF8" w14:textId="77777777" w:rsidR="007335FB" w:rsidRPr="00742EFB" w:rsidRDefault="00A870AD">
      <w:pPr>
        <w:pStyle w:val="Zkladntext"/>
        <w:ind w:left="132" w:right="203"/>
        <w:jc w:val="both"/>
      </w:pPr>
      <w:r>
        <w:t xml:space="preserve">Představenstvo </w:t>
      </w:r>
      <w:proofErr w:type="gramStart"/>
      <w:r>
        <w:t>předloží</w:t>
      </w:r>
      <w:proofErr w:type="gramEnd"/>
      <w:r>
        <w:t xml:space="preserve"> valné hromadě svolané na 25. dubna 2023 návrh na výplatu dividendy ve výši 7,35 eur na akcii, což je o 7 % více než v loňském roce, kdy byla vyplacena dividenda ve výši 6,85 eur na akcii.</w:t>
      </w:r>
    </w:p>
    <w:p w14:paraId="697A8272" w14:textId="77777777" w:rsidR="007335FB" w:rsidRPr="00742EFB" w:rsidRDefault="007335FB">
      <w:pPr>
        <w:jc w:val="both"/>
        <w:sectPr w:rsidR="007335FB" w:rsidRPr="00742EFB">
          <w:pgSz w:w="11910" w:h="16840"/>
          <w:pgMar w:top="1220" w:right="640" w:bottom="660" w:left="720" w:header="202" w:footer="465" w:gutter="0"/>
          <w:cols w:space="720"/>
        </w:sectPr>
      </w:pPr>
    </w:p>
    <w:p w14:paraId="1BEB48F3" w14:textId="77777777" w:rsidR="007335FB" w:rsidRPr="00742EFB" w:rsidRDefault="00A870AD">
      <w:pPr>
        <w:pStyle w:val="Nadpis1"/>
        <w:spacing w:before="185"/>
        <w:rPr>
          <w:u w:val="none"/>
        </w:rPr>
      </w:pPr>
      <w:r>
        <w:rPr>
          <w:color w:val="2C4864"/>
          <w:u w:val="thick" w:color="2C4864"/>
        </w:rPr>
        <w:lastRenderedPageBreak/>
        <w:t>Výhled</w:t>
      </w:r>
    </w:p>
    <w:p w14:paraId="2C5A5D95" w14:textId="77777777" w:rsidR="007335FB" w:rsidRPr="00742EFB" w:rsidRDefault="007335FB">
      <w:pPr>
        <w:pStyle w:val="Zkladntext"/>
        <w:spacing w:before="9"/>
        <w:rPr>
          <w:b/>
          <w:sz w:val="20"/>
        </w:rPr>
      </w:pPr>
    </w:p>
    <w:p w14:paraId="21C4E5A9" w14:textId="77777777" w:rsidR="007335FB" w:rsidRPr="00742EFB" w:rsidRDefault="00A870AD">
      <w:pPr>
        <w:pStyle w:val="Zkladntext"/>
        <w:spacing w:before="1"/>
        <w:ind w:left="132" w:right="204"/>
        <w:jc w:val="both"/>
      </w:pPr>
      <w:r>
        <w:t>V nestabilním prostředí s vysokou inflací, rostoucími úrokovými sazbami a volatilními měnami má skupina Colas silné základy a bude i nadále těžit z pozitivního dopadu realizovaných transformačních plánů.</w:t>
      </w:r>
    </w:p>
    <w:p w14:paraId="19AB57A4" w14:textId="77777777" w:rsidR="007335FB" w:rsidRPr="00742EFB" w:rsidRDefault="00A870AD">
      <w:pPr>
        <w:pStyle w:val="Zkladntext"/>
        <w:spacing w:before="119"/>
        <w:ind w:left="132" w:right="206"/>
        <w:jc w:val="both"/>
      </w:pPr>
      <w:r>
        <w:t>Jak bylo oznámeno ve 3. čtvrtletí roku 2022, společnost Colas potvrzuje svůj cíl zvýšit v roce 2023 ve srovnání s rokem 2022 běžný provozní zisk.</w:t>
      </w:r>
    </w:p>
    <w:p w14:paraId="5D4E00D9" w14:textId="029E2B18" w:rsidR="007335FB" w:rsidRPr="00742EFB" w:rsidRDefault="00595E7D">
      <w:pPr>
        <w:pStyle w:val="Zkladntext"/>
        <w:spacing w:before="121"/>
        <w:ind w:left="132" w:right="206"/>
        <w:jc w:val="both"/>
      </w:pPr>
      <w:r>
        <w:t>P</w:t>
      </w:r>
      <w:r w:rsidR="00A870AD">
        <w:t>rovozní zisk z</w:t>
      </w:r>
      <w:r>
        <w:t xml:space="preserve"> běžné </w:t>
      </w:r>
      <w:r w:rsidR="00A870AD">
        <w:t xml:space="preserve">činnosti (COPA) je novým ukazatelem </w:t>
      </w:r>
      <w:r w:rsidR="00EA75BA">
        <w:t>hospodářských výsledků</w:t>
      </w:r>
      <w:r w:rsidR="00A870AD">
        <w:t xml:space="preserve"> skupiny a společnost Colas potvrzuje, že i v roce 2023 se ve srovnání s rokem 2022 očekává jeho nárůst.</w:t>
      </w:r>
    </w:p>
    <w:p w14:paraId="14836F9C" w14:textId="77777777" w:rsidR="007335FB" w:rsidRPr="00742EFB" w:rsidRDefault="007335FB">
      <w:pPr>
        <w:pStyle w:val="Zkladntext"/>
        <w:rPr>
          <w:sz w:val="24"/>
        </w:rPr>
      </w:pPr>
    </w:p>
    <w:p w14:paraId="115D60EF" w14:textId="77777777" w:rsidR="007335FB" w:rsidRPr="00742EFB" w:rsidRDefault="007335FB">
      <w:pPr>
        <w:pStyle w:val="Zkladntext"/>
        <w:spacing w:before="7"/>
        <w:rPr>
          <w:sz w:val="24"/>
        </w:rPr>
      </w:pPr>
    </w:p>
    <w:p w14:paraId="465C5936" w14:textId="77777777" w:rsidR="007335FB" w:rsidRPr="00742EFB" w:rsidRDefault="00A870AD">
      <w:pPr>
        <w:pStyle w:val="Nadpis1"/>
        <w:spacing w:before="1"/>
        <w:rPr>
          <w:u w:val="none"/>
        </w:rPr>
      </w:pPr>
      <w:bookmarkStart w:id="8" w:name="Governance"/>
      <w:bookmarkEnd w:id="8"/>
      <w:r>
        <w:rPr>
          <w:color w:val="2C4864"/>
          <w:u w:val="thick" w:color="2C4864"/>
        </w:rPr>
        <w:t>Správa a řízení</w:t>
      </w:r>
    </w:p>
    <w:p w14:paraId="5FD742C8" w14:textId="77777777" w:rsidR="007335FB" w:rsidRPr="00742EFB" w:rsidRDefault="007335FB">
      <w:pPr>
        <w:pStyle w:val="Zkladntext"/>
        <w:spacing w:before="9"/>
        <w:rPr>
          <w:b/>
          <w:sz w:val="20"/>
        </w:rPr>
      </w:pPr>
    </w:p>
    <w:p w14:paraId="6029EE83" w14:textId="77777777" w:rsidR="007335FB" w:rsidRPr="00742EFB" w:rsidRDefault="00A870AD">
      <w:pPr>
        <w:pStyle w:val="Zkladntext"/>
        <w:ind w:left="132"/>
      </w:pPr>
      <w:r>
        <w:t>Představenstvo se rozhodlo předložit valné hromadě svolané na 25. dubna 2023 následující návrh:</w:t>
      </w:r>
    </w:p>
    <w:p w14:paraId="43AFFB18" w14:textId="4B1BA1C1" w:rsidR="007335FB" w:rsidRPr="00742EFB" w:rsidRDefault="00A870AD" w:rsidP="00140A2C">
      <w:pPr>
        <w:pStyle w:val="Odstavecseseznamem"/>
        <w:numPr>
          <w:ilvl w:val="0"/>
          <w:numId w:val="2"/>
        </w:numPr>
        <w:tabs>
          <w:tab w:val="left" w:pos="851"/>
          <w:tab w:val="left" w:pos="852"/>
        </w:tabs>
        <w:spacing w:before="122" w:line="237" w:lineRule="auto"/>
        <w:ind w:left="851" w:right="209" w:hanging="360"/>
        <w:jc w:val="both"/>
        <w:rPr>
          <w:rFonts w:ascii="Symbol" w:hAnsi="Symbol"/>
        </w:rPr>
      </w:pPr>
      <w:r>
        <w:t xml:space="preserve">prodloužit funkční období </w:t>
      </w:r>
      <w:proofErr w:type="spellStart"/>
      <w:r>
        <w:t>Frédérica</w:t>
      </w:r>
      <w:proofErr w:type="spellEnd"/>
      <w:r>
        <w:t xml:space="preserve"> </w:t>
      </w:r>
      <w:proofErr w:type="spellStart"/>
      <w:r>
        <w:t>Gardèse</w:t>
      </w:r>
      <w:proofErr w:type="spellEnd"/>
      <w:r>
        <w:t xml:space="preserve">, Cyrila </w:t>
      </w:r>
      <w:proofErr w:type="spellStart"/>
      <w:r>
        <w:t>Bouyguese</w:t>
      </w:r>
      <w:proofErr w:type="spellEnd"/>
      <w:r>
        <w:t xml:space="preserve">, </w:t>
      </w:r>
      <w:r w:rsidR="00C43A9D">
        <w:t xml:space="preserve">společnosti </w:t>
      </w:r>
      <w:proofErr w:type="spellStart"/>
      <w:r>
        <w:t>Bouygues</w:t>
      </w:r>
      <w:proofErr w:type="spellEnd"/>
      <w:r w:rsidR="0012780F">
        <w:t xml:space="preserve"> SA</w:t>
      </w:r>
      <w:r>
        <w:t xml:space="preserve"> (</w:t>
      </w:r>
      <w:r w:rsidR="0007690F">
        <w:t>jejíž</w:t>
      </w:r>
      <w:r>
        <w:t xml:space="preserve"> stálým zástupcem je Pascal </w:t>
      </w:r>
      <w:proofErr w:type="spellStart"/>
      <w:r>
        <w:t>Grangé</w:t>
      </w:r>
      <w:proofErr w:type="spellEnd"/>
      <w:r>
        <w:t xml:space="preserve">), Oliviera </w:t>
      </w:r>
      <w:proofErr w:type="spellStart"/>
      <w:r>
        <w:t>Roussata</w:t>
      </w:r>
      <w:proofErr w:type="spellEnd"/>
      <w:r>
        <w:t xml:space="preserve"> a Colette </w:t>
      </w:r>
      <w:proofErr w:type="spellStart"/>
      <w:r>
        <w:t>Lewiner</w:t>
      </w:r>
      <w:proofErr w:type="spellEnd"/>
      <w:r>
        <w:t xml:space="preserve"> (nezávislé členky představenstva),</w:t>
      </w:r>
    </w:p>
    <w:p w14:paraId="5140A9F3" w14:textId="2586BA3E" w:rsidR="007335FB" w:rsidRPr="00742EFB" w:rsidRDefault="00A870AD" w:rsidP="00140A2C">
      <w:pPr>
        <w:pStyle w:val="Odstavecseseznamem"/>
        <w:numPr>
          <w:ilvl w:val="0"/>
          <w:numId w:val="2"/>
        </w:numPr>
        <w:tabs>
          <w:tab w:val="left" w:pos="851"/>
          <w:tab w:val="left" w:pos="852"/>
        </w:tabs>
        <w:spacing w:before="4" w:line="237" w:lineRule="auto"/>
        <w:ind w:left="851" w:right="206" w:hanging="360"/>
        <w:jc w:val="both"/>
        <w:rPr>
          <w:rFonts w:ascii="Symbol" w:hAnsi="Symbol"/>
        </w:rPr>
      </w:pPr>
      <w:r>
        <w:t xml:space="preserve">jmenovat Anne-Christine </w:t>
      </w:r>
      <w:proofErr w:type="spellStart"/>
      <w:r>
        <w:t>Champion</w:t>
      </w:r>
      <w:proofErr w:type="spellEnd"/>
      <w:r>
        <w:t xml:space="preserve"> nezávislou členkou představenstva, která nahradí Stéphanie </w:t>
      </w:r>
      <w:proofErr w:type="spellStart"/>
      <w:r>
        <w:t>Rivoal</w:t>
      </w:r>
      <w:proofErr w:type="spellEnd"/>
      <w:r>
        <w:t xml:space="preserve">, jejíž funkční období </w:t>
      </w:r>
      <w:proofErr w:type="gramStart"/>
      <w:r>
        <w:t>skončí</w:t>
      </w:r>
      <w:proofErr w:type="gramEnd"/>
      <w:r>
        <w:t xml:space="preserve"> </w:t>
      </w:r>
      <w:r w:rsidR="00C43A9D">
        <w:t>ke</w:t>
      </w:r>
      <w:r>
        <w:t xml:space="preserve"> konci valné hromady akcionářů svolané na 25. dubna 2023,</w:t>
      </w:r>
    </w:p>
    <w:p w14:paraId="38C4AE23" w14:textId="77777777" w:rsidR="007335FB" w:rsidRPr="00742EFB" w:rsidRDefault="00A870AD" w:rsidP="00140A2C">
      <w:pPr>
        <w:pStyle w:val="Odstavecseseznamem"/>
        <w:numPr>
          <w:ilvl w:val="0"/>
          <w:numId w:val="2"/>
        </w:numPr>
        <w:tabs>
          <w:tab w:val="left" w:pos="851"/>
          <w:tab w:val="left" w:pos="852"/>
        </w:tabs>
        <w:spacing w:before="4" w:line="237" w:lineRule="auto"/>
        <w:ind w:left="851" w:right="204" w:hanging="360"/>
        <w:jc w:val="both"/>
        <w:rPr>
          <w:rFonts w:ascii="Symbol" w:hAnsi="Symbol"/>
        </w:rPr>
      </w:pPr>
      <w:r>
        <w:t>stanovit funkční období členů představenstva na tři roky (namísto dvou let) a odpovídajícím způsobem změnit článek 14 stanov.</w:t>
      </w:r>
    </w:p>
    <w:p w14:paraId="6C594CE7" w14:textId="77777777" w:rsidR="007335FB" w:rsidRPr="00742EFB" w:rsidRDefault="007335FB">
      <w:pPr>
        <w:pStyle w:val="Zkladntext"/>
        <w:rPr>
          <w:sz w:val="24"/>
        </w:rPr>
      </w:pPr>
    </w:p>
    <w:p w14:paraId="38E8321B" w14:textId="77777777" w:rsidR="007335FB" w:rsidRPr="00742EFB" w:rsidRDefault="007335FB">
      <w:pPr>
        <w:pStyle w:val="Zkladntext"/>
        <w:spacing w:before="10"/>
        <w:rPr>
          <w:sz w:val="18"/>
        </w:rPr>
      </w:pPr>
    </w:p>
    <w:p w14:paraId="3ED6F6C6" w14:textId="77777777" w:rsidR="007335FB" w:rsidRPr="00742EFB" w:rsidRDefault="00A870AD">
      <w:pPr>
        <w:pStyle w:val="Zkladntext"/>
        <w:ind w:left="132" w:right="205"/>
        <w:jc w:val="both"/>
      </w:pPr>
      <w:r>
        <w:t xml:space="preserve">Kromě toho představenstvo rozhodlo o prodloužení funkčního období </w:t>
      </w:r>
      <w:proofErr w:type="spellStart"/>
      <w:r>
        <w:t>Frédérica</w:t>
      </w:r>
      <w:proofErr w:type="spellEnd"/>
      <w:r>
        <w:t xml:space="preserve"> </w:t>
      </w:r>
      <w:proofErr w:type="spellStart"/>
      <w:r>
        <w:t>Gardèse</w:t>
      </w:r>
      <w:proofErr w:type="spellEnd"/>
      <w:r>
        <w:t xml:space="preserve"> jako předsedy představenstva a generálního ředitele na dobu tří let s výhradou, že bude valnou hromadou svolanou na 25. dubna 2025 prodlouženo jeho funkční období člena představenstva.</w:t>
      </w:r>
    </w:p>
    <w:p w14:paraId="57C5CFE9" w14:textId="77777777" w:rsidR="007335FB" w:rsidRPr="00742EFB" w:rsidRDefault="007335FB">
      <w:pPr>
        <w:pStyle w:val="Zkladntext"/>
        <w:rPr>
          <w:sz w:val="24"/>
        </w:rPr>
      </w:pPr>
    </w:p>
    <w:p w14:paraId="5AC61082" w14:textId="77777777" w:rsidR="007335FB" w:rsidRPr="00742EFB" w:rsidRDefault="007335FB">
      <w:pPr>
        <w:pStyle w:val="Zkladntext"/>
        <w:spacing w:before="5"/>
        <w:rPr>
          <w:sz w:val="29"/>
        </w:rPr>
      </w:pPr>
    </w:p>
    <w:p w14:paraId="7B743685" w14:textId="5A4D2895" w:rsidR="007335FB" w:rsidRPr="00742EFB" w:rsidRDefault="00A870AD">
      <w:pPr>
        <w:pStyle w:val="Nadpis1"/>
        <w:jc w:val="both"/>
        <w:rPr>
          <w:u w:val="none"/>
        </w:rPr>
      </w:pPr>
      <w:bookmarkStart w:id="9" w:name="Extension_of_the_Company_term"/>
      <w:bookmarkEnd w:id="9"/>
      <w:r>
        <w:rPr>
          <w:color w:val="2C4864"/>
          <w:u w:val="thick" w:color="2C4864"/>
        </w:rPr>
        <w:t xml:space="preserve">Prodloužení </w:t>
      </w:r>
      <w:r w:rsidR="00555DE8">
        <w:rPr>
          <w:color w:val="2C4864"/>
          <w:u w:val="thick" w:color="2C4864"/>
        </w:rPr>
        <w:t>existence</w:t>
      </w:r>
      <w:r>
        <w:rPr>
          <w:color w:val="2C4864"/>
          <w:u w:val="thick" w:color="2C4864"/>
        </w:rPr>
        <w:t xml:space="preserve"> společnosti</w:t>
      </w:r>
    </w:p>
    <w:p w14:paraId="345C90B7" w14:textId="77777777" w:rsidR="007335FB" w:rsidRPr="00742EFB" w:rsidRDefault="007335FB">
      <w:pPr>
        <w:pStyle w:val="Zkladntext"/>
        <w:spacing w:before="10"/>
        <w:rPr>
          <w:b/>
          <w:sz w:val="20"/>
        </w:rPr>
      </w:pPr>
    </w:p>
    <w:p w14:paraId="5E2894D2" w14:textId="529BE07D" w:rsidR="007335FB" w:rsidRPr="00742EFB" w:rsidRDefault="00A870AD">
      <w:pPr>
        <w:pStyle w:val="Zkladntext"/>
        <w:ind w:left="132" w:right="205"/>
        <w:jc w:val="both"/>
      </w:pPr>
      <w:r>
        <w:t xml:space="preserve">Vzhledem k tomu, že </w:t>
      </w:r>
      <w:r w:rsidR="00F70237">
        <w:t>existence</w:t>
      </w:r>
      <w:r>
        <w:t xml:space="preserve"> společnosti </w:t>
      </w:r>
      <w:proofErr w:type="gramStart"/>
      <w:r w:rsidR="00F70237">
        <w:t>s</w:t>
      </w:r>
      <w:r>
        <w:t>končí</w:t>
      </w:r>
      <w:proofErr w:type="gramEnd"/>
      <w:r>
        <w:t xml:space="preserve"> v roce 2028, rozhodlo se představenstvo předložit valné hromadě svolané na 25. dubna 2023 návrh na </w:t>
      </w:r>
      <w:r w:rsidR="00F70237">
        <w:t xml:space="preserve">její </w:t>
      </w:r>
      <w:r>
        <w:t>prodloužení o dalších 99 let, tj. do 25. dubna 2122.</w:t>
      </w:r>
    </w:p>
    <w:p w14:paraId="55E21C0C" w14:textId="77777777" w:rsidR="007335FB" w:rsidRPr="00742EFB" w:rsidRDefault="007335FB">
      <w:pPr>
        <w:pStyle w:val="Zkladntext"/>
        <w:rPr>
          <w:sz w:val="24"/>
        </w:rPr>
      </w:pPr>
    </w:p>
    <w:p w14:paraId="5E5AD771" w14:textId="77777777" w:rsidR="007335FB" w:rsidRPr="00742EFB" w:rsidRDefault="007335FB">
      <w:pPr>
        <w:pStyle w:val="Zkladntext"/>
        <w:spacing w:before="3"/>
        <w:rPr>
          <w:sz w:val="31"/>
        </w:rPr>
      </w:pPr>
    </w:p>
    <w:p w14:paraId="5E07F725" w14:textId="77777777" w:rsidR="007335FB" w:rsidRPr="00742EFB" w:rsidRDefault="00A870AD">
      <w:pPr>
        <w:pStyle w:val="Nadpis1"/>
        <w:jc w:val="both"/>
        <w:rPr>
          <w:u w:val="none"/>
        </w:rPr>
      </w:pPr>
      <w:bookmarkStart w:id="10" w:name="Climate_Strategy"/>
      <w:bookmarkEnd w:id="10"/>
      <w:r>
        <w:rPr>
          <w:color w:val="2C4864"/>
          <w:u w:val="thick" w:color="2C4864"/>
        </w:rPr>
        <w:t>Strategie v oblasti klimatu</w:t>
      </w:r>
    </w:p>
    <w:p w14:paraId="72A13243" w14:textId="77777777" w:rsidR="007335FB" w:rsidRPr="00742EFB" w:rsidRDefault="007335FB">
      <w:pPr>
        <w:pStyle w:val="Zkladntext"/>
        <w:spacing w:before="10"/>
        <w:rPr>
          <w:b/>
          <w:sz w:val="20"/>
        </w:rPr>
      </w:pPr>
    </w:p>
    <w:p w14:paraId="2D121CCB" w14:textId="1F2BAA28" w:rsidR="007335FB" w:rsidRPr="00742EFB" w:rsidRDefault="00A870AD">
      <w:pPr>
        <w:pStyle w:val="Zkladntext"/>
        <w:ind w:left="132" w:right="204"/>
        <w:jc w:val="both"/>
      </w:pPr>
      <w:r>
        <w:t xml:space="preserve">V roce 2022 skupina Colas pokračovala v zavádění svého plánu </w:t>
      </w:r>
      <w:r w:rsidR="00060260">
        <w:t>na</w:t>
      </w:r>
      <w:r>
        <w:t xml:space="preserve"> rozvoj </w:t>
      </w:r>
      <w:r w:rsidR="00677CC0">
        <w:t>nízkouhlíkov</w:t>
      </w:r>
      <w:r w:rsidR="00060260">
        <w:t>ých řešení</w:t>
      </w:r>
      <w:r w:rsidR="00677CC0">
        <w:t xml:space="preserve"> </w:t>
      </w:r>
      <w:r>
        <w:t xml:space="preserve">a </w:t>
      </w:r>
      <w:r w:rsidR="00E837C7">
        <w:t xml:space="preserve">ochranu </w:t>
      </w:r>
      <w:r>
        <w:t>biologick</w:t>
      </w:r>
      <w:r w:rsidR="00E837C7">
        <w:t>é</w:t>
      </w:r>
      <w:r>
        <w:t xml:space="preserve"> rozmanitost</w:t>
      </w:r>
      <w:r w:rsidR="00E837C7">
        <w:t>i</w:t>
      </w:r>
      <w:r>
        <w:t xml:space="preserve"> v celé síti obchodních jednotek Colas po celém světě.</w:t>
      </w:r>
    </w:p>
    <w:p w14:paraId="2AE75351" w14:textId="4B81686A" w:rsidR="007335FB" w:rsidRPr="00742EFB" w:rsidRDefault="00A870AD">
      <w:pPr>
        <w:pStyle w:val="Zkladntext"/>
        <w:spacing w:before="120"/>
        <w:ind w:left="132" w:right="204"/>
        <w:jc w:val="both"/>
      </w:pPr>
      <w:r>
        <w:t xml:space="preserve">Téměř 6 000 zaměstnanců se zúčastnilo osvětových kurzů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Fresco</w:t>
      </w:r>
      <w:proofErr w:type="spellEnd"/>
      <w:r>
        <w:t xml:space="preserve">, přičemž cílem je do konce roku 2023 proškolit všechny vedoucí pracovníky, </w:t>
      </w:r>
      <w:r w:rsidR="00D07F85">
        <w:t>THP</w:t>
      </w:r>
      <w:r>
        <w:t xml:space="preserve"> a terénní pracovníky společnosti Colas. Nízkouhlíkový program „</w:t>
      </w:r>
      <w:proofErr w:type="spellStart"/>
      <w:r>
        <w:t>Low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“ </w:t>
      </w:r>
      <w:proofErr w:type="spellStart"/>
      <w:r>
        <w:t>Fresco</w:t>
      </w:r>
      <w:proofErr w:type="spellEnd"/>
      <w:r>
        <w:t xml:space="preserve"> byl navržen tak, aby představil dopad činností skupiny a řešení zaměřující se na snižování uhlíkové stopy. Zaměstnancům byly zpřístupněny také e-learningové programy zaměřené na </w:t>
      </w:r>
      <w:r w:rsidR="001F05EE">
        <w:t>rozvoj nízkouhlíkových řešení a ochranu biologické rozmanitosti</w:t>
      </w:r>
      <w:r>
        <w:t>.</w:t>
      </w:r>
    </w:p>
    <w:p w14:paraId="07740D6A" w14:textId="1A5FF192" w:rsidR="007335FB" w:rsidRPr="00742EFB" w:rsidRDefault="00A870AD">
      <w:pPr>
        <w:pStyle w:val="Zkladntext"/>
        <w:spacing w:before="120"/>
        <w:ind w:left="132" w:right="205"/>
        <w:jc w:val="both"/>
      </w:pPr>
      <w:r>
        <w:t xml:space="preserve">V rámci šesti </w:t>
      </w:r>
      <w:r w:rsidR="00664AF7">
        <w:t>základních priorit</w:t>
      </w:r>
      <w:r>
        <w:t xml:space="preserve">, které jsou součástí plánu skupiny </w:t>
      </w:r>
      <w:r w:rsidR="003E1C3D">
        <w:t>na rozvoj nízkouhlíkových řešení a ochranu biologické rozmanitosti</w:t>
      </w:r>
      <w:r>
        <w:t>, byla provedena řada opatření:</w:t>
      </w:r>
    </w:p>
    <w:p w14:paraId="0A335DD3" w14:textId="77777777" w:rsidR="007335FB" w:rsidRPr="00742EFB" w:rsidRDefault="007335FB">
      <w:pPr>
        <w:pStyle w:val="Zkladntext"/>
        <w:spacing w:before="10"/>
        <w:rPr>
          <w:sz w:val="20"/>
        </w:rPr>
      </w:pPr>
    </w:p>
    <w:p w14:paraId="6FA3119C" w14:textId="40FC3DD8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4"/>
          <w:tab w:val="left" w:pos="845"/>
        </w:tabs>
        <w:rPr>
          <w:rFonts w:ascii="Symbol" w:hAnsi="Symbol"/>
        </w:rPr>
      </w:pPr>
      <w:r>
        <w:rPr>
          <w:u w:val="single"/>
        </w:rPr>
        <w:t xml:space="preserve">1. </w:t>
      </w:r>
      <w:r w:rsidR="00480941">
        <w:rPr>
          <w:u w:val="single"/>
        </w:rPr>
        <w:t>priorita</w:t>
      </w:r>
      <w:r>
        <w:rPr>
          <w:u w:val="single"/>
        </w:rPr>
        <w:t xml:space="preserve"> – začlenění problematiky změny klimatu do strategie</w:t>
      </w:r>
    </w:p>
    <w:p w14:paraId="5DE78315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2"/>
        <w:ind w:hanging="357"/>
      </w:pPr>
      <w:r>
        <w:t>Vytvoření linie podnikání zaměřené na aktivní mobilitu (cyklistika, chůze)</w:t>
      </w:r>
    </w:p>
    <w:p w14:paraId="159CAEBF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15"/>
        <w:ind w:hanging="357"/>
      </w:pPr>
      <w:r>
        <w:t>Aktualizace katalogu výrobků a řešení (Francie) s nízkým dopadem na životní prostředí</w:t>
      </w:r>
    </w:p>
    <w:p w14:paraId="15834DAC" w14:textId="0E38A415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4"/>
          <w:tab w:val="left" w:pos="845"/>
        </w:tabs>
        <w:spacing w:before="184"/>
        <w:rPr>
          <w:rFonts w:ascii="Symbol" w:hAnsi="Symbol"/>
        </w:rPr>
      </w:pPr>
      <w:r>
        <w:rPr>
          <w:u w:val="single"/>
        </w:rPr>
        <w:t xml:space="preserve">2. </w:t>
      </w:r>
      <w:r w:rsidR="00480941">
        <w:rPr>
          <w:u w:val="single"/>
        </w:rPr>
        <w:t>priorita</w:t>
      </w:r>
      <w:r>
        <w:rPr>
          <w:u w:val="single"/>
        </w:rPr>
        <w:t xml:space="preserve"> – provádění opatření ke snížení uhlíkové náročnosti přímých emisí (emise </w:t>
      </w:r>
      <w:proofErr w:type="spellStart"/>
      <w:r>
        <w:rPr>
          <w:u w:val="single"/>
        </w:rPr>
        <w:t>scope</w:t>
      </w:r>
      <w:proofErr w:type="spellEnd"/>
      <w:r>
        <w:rPr>
          <w:u w:val="single"/>
        </w:rPr>
        <w:t xml:space="preserve"> 1 a 2)</w:t>
      </w:r>
    </w:p>
    <w:p w14:paraId="69476DA3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2" w:line="252" w:lineRule="auto"/>
        <w:ind w:right="207"/>
      </w:pPr>
      <w:r>
        <w:t xml:space="preserve">Ve Francii více než 700 nákladních vozidel používá </w:t>
      </w:r>
      <w:proofErr w:type="spellStart"/>
      <w:r>
        <w:t>Oléo</w:t>
      </w:r>
      <w:proofErr w:type="spellEnd"/>
      <w:r>
        <w:t xml:space="preserve"> 100, palivo na bázi biopaliv, které ve srovnání s naftou snižuje emise skleníkových plynů o 60 % a emise jemných částic až o 80 %</w:t>
      </w:r>
    </w:p>
    <w:p w14:paraId="74460238" w14:textId="54923C99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10" w:line="252" w:lineRule="auto"/>
        <w:ind w:right="206"/>
      </w:pPr>
      <w:r>
        <w:lastRenderedPageBreak/>
        <w:t xml:space="preserve">Přechod vozového parku </w:t>
      </w:r>
      <w:r w:rsidR="0071162C">
        <w:t xml:space="preserve">osobních </w:t>
      </w:r>
      <w:r>
        <w:t>vozidel na plně elektrický pohon a pokračování v instalaci dobíjecích stanic ve všech 300 provozovnách v kontinentální Francii</w:t>
      </w:r>
    </w:p>
    <w:p w14:paraId="3CD00FC9" w14:textId="77777777" w:rsidR="007335FB" w:rsidRPr="00742EFB" w:rsidRDefault="007335FB">
      <w:pPr>
        <w:pStyle w:val="Zkladntext"/>
        <w:spacing w:before="6"/>
        <w:rPr>
          <w:sz w:val="21"/>
        </w:rPr>
      </w:pPr>
    </w:p>
    <w:p w14:paraId="14FA6C29" w14:textId="1FC3CB6F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4"/>
          <w:tab w:val="left" w:pos="845"/>
        </w:tabs>
        <w:rPr>
          <w:rFonts w:ascii="Symbol" w:hAnsi="Symbol"/>
        </w:rPr>
      </w:pPr>
      <w:r>
        <w:rPr>
          <w:u w:val="single"/>
        </w:rPr>
        <w:t xml:space="preserve">3. </w:t>
      </w:r>
      <w:r w:rsidR="00480941">
        <w:rPr>
          <w:u w:val="single"/>
        </w:rPr>
        <w:t>priorita</w:t>
      </w:r>
      <w:r>
        <w:rPr>
          <w:u w:val="single"/>
        </w:rPr>
        <w:t xml:space="preserve"> – vývoj a podpora nízkouhlíkových technik a řešení</w:t>
      </w:r>
    </w:p>
    <w:p w14:paraId="66142813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2"/>
        <w:ind w:hanging="357"/>
      </w:pPr>
      <w:r>
        <w:t>Zákazníkům bylo navrženo 250 ekologických alternativ, což je více než dvojnásobek oproti roku 2021.</w:t>
      </w:r>
    </w:p>
    <w:p w14:paraId="2E52502C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15" w:line="252" w:lineRule="auto"/>
        <w:ind w:right="205"/>
      </w:pPr>
      <w:r>
        <w:t>Průměrný obsah recyklovaného asfaltu (RAP) v roce 2022 dosáhl 17,5 % oproti 16 % v roce 2021</w:t>
      </w:r>
    </w:p>
    <w:p w14:paraId="26DA77B6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85"/>
          <w:tab w:val="left" w:pos="1186"/>
        </w:tabs>
        <w:spacing w:before="7" w:line="254" w:lineRule="auto"/>
        <w:ind w:right="208"/>
      </w:pPr>
      <w:r>
        <w:tab/>
        <w:t>Mezinárodní zavádění procesů zaměřených na snižování uhlíkové stopy: bio pojiva (</w:t>
      </w:r>
      <w:proofErr w:type="spellStart"/>
      <w:r>
        <w:t>Vegecol</w:t>
      </w:r>
      <w:proofErr w:type="spellEnd"/>
      <w:r>
        <w:t xml:space="preserve">, </w:t>
      </w:r>
      <w:proofErr w:type="spellStart"/>
      <w:r>
        <w:t>Vegeroad</w:t>
      </w:r>
      <w:proofErr w:type="spellEnd"/>
      <w:r>
        <w:t>), směsi za studena (</w:t>
      </w:r>
      <w:proofErr w:type="spellStart"/>
      <w:r>
        <w:t>Valorcol</w:t>
      </w:r>
      <w:proofErr w:type="spellEnd"/>
      <w:r>
        <w:t>), recyklace na místě (</w:t>
      </w:r>
      <w:proofErr w:type="spellStart"/>
      <w:r>
        <w:t>Recycol</w:t>
      </w:r>
      <w:proofErr w:type="spellEnd"/>
      <w:r>
        <w:t>)</w:t>
      </w:r>
    </w:p>
    <w:p w14:paraId="262F3EC9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5" w:line="252" w:lineRule="auto"/>
        <w:ind w:right="207"/>
      </w:pPr>
      <w:r>
        <w:t xml:space="preserve">Koncem roku zahájila společnost Colas ve Francii provoz sítě </w:t>
      </w:r>
      <w:proofErr w:type="spellStart"/>
      <w:r>
        <w:t>Valormat</w:t>
      </w:r>
      <w:proofErr w:type="spellEnd"/>
      <w:r>
        <w:t xml:space="preserve"> a </w:t>
      </w:r>
      <w:proofErr w:type="spellStart"/>
      <w:r>
        <w:t>Ecotri</w:t>
      </w:r>
      <w:proofErr w:type="spellEnd"/>
      <w:r>
        <w:t xml:space="preserve"> s cílem zvýšit do roku 2026 výrobu recyklovaných materiálů o 50 %.</w:t>
      </w:r>
    </w:p>
    <w:p w14:paraId="7D886B4D" w14:textId="77777777" w:rsidR="007335FB" w:rsidRPr="00742EFB" w:rsidRDefault="007335FB">
      <w:pPr>
        <w:pStyle w:val="Zkladntext"/>
        <w:spacing w:before="8"/>
        <w:rPr>
          <w:sz w:val="21"/>
        </w:rPr>
      </w:pPr>
    </w:p>
    <w:p w14:paraId="75895158" w14:textId="4449B448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4"/>
          <w:tab w:val="left" w:pos="845"/>
        </w:tabs>
        <w:spacing w:line="237" w:lineRule="auto"/>
        <w:ind w:right="205"/>
        <w:rPr>
          <w:rFonts w:ascii="Symbol" w:hAnsi="Symbol"/>
        </w:rPr>
      </w:pPr>
      <w:r>
        <w:rPr>
          <w:u w:val="single"/>
        </w:rPr>
        <w:t xml:space="preserve">4. </w:t>
      </w:r>
      <w:r w:rsidR="00480941">
        <w:rPr>
          <w:u w:val="single"/>
        </w:rPr>
        <w:t>priorita</w:t>
      </w:r>
      <w:r>
        <w:rPr>
          <w:u w:val="single"/>
        </w:rPr>
        <w:t xml:space="preserve"> – zavedení uhlíkového účetnictví a snižování nepřímých emisí v dodavatelském řetězci souvisejících s naší výrobou (emise </w:t>
      </w:r>
      <w:proofErr w:type="spellStart"/>
      <w:r>
        <w:rPr>
          <w:u w:val="single"/>
        </w:rPr>
        <w:t>scope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3a</w:t>
      </w:r>
      <w:proofErr w:type="gramEnd"/>
      <w:r>
        <w:rPr>
          <w:u w:val="single"/>
        </w:rPr>
        <w:t>)</w:t>
      </w:r>
    </w:p>
    <w:p w14:paraId="30029E39" w14:textId="3692C6A5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4" w:line="252" w:lineRule="auto"/>
        <w:ind w:right="209"/>
      </w:pPr>
      <w:r>
        <w:t xml:space="preserve">Colas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je nástroj určený k měření uhlíkové stopy stavebního projektu podle </w:t>
      </w:r>
      <w:r w:rsidR="00400EFF">
        <w:t xml:space="preserve">jeho </w:t>
      </w:r>
      <w:r>
        <w:t>rozsahu a kategorie materiálů. Tento nástroj byl zaveden v celé Francii.</w:t>
      </w:r>
    </w:p>
    <w:p w14:paraId="6F7CB0EB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10" w:line="252" w:lineRule="auto"/>
        <w:ind w:right="207"/>
      </w:pPr>
      <w:r>
        <w:t>Společnost Colas také zavedla nový způsob výpočtu uhlíkové stopy založený na fyzických tocích hlavních nákupních kategorií, který je v souladu s jejími opatřeními na snížení emisí.</w:t>
      </w:r>
    </w:p>
    <w:p w14:paraId="1D9C1AC3" w14:textId="77777777" w:rsidR="007335FB" w:rsidRPr="00742EFB" w:rsidRDefault="007335FB">
      <w:pPr>
        <w:pStyle w:val="Zkladntext"/>
        <w:spacing w:before="3"/>
        <w:rPr>
          <w:sz w:val="21"/>
        </w:rPr>
      </w:pPr>
    </w:p>
    <w:p w14:paraId="08BB7A31" w14:textId="45E37428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4"/>
          <w:tab w:val="left" w:pos="845"/>
        </w:tabs>
        <w:spacing w:before="1"/>
        <w:rPr>
          <w:rFonts w:ascii="Symbol" w:hAnsi="Symbol"/>
        </w:rPr>
      </w:pPr>
      <w:r>
        <w:rPr>
          <w:u w:val="single"/>
        </w:rPr>
        <w:t xml:space="preserve">5. </w:t>
      </w:r>
      <w:r w:rsidR="00480941">
        <w:rPr>
          <w:u w:val="single"/>
        </w:rPr>
        <w:t>priorita</w:t>
      </w:r>
      <w:r>
        <w:rPr>
          <w:u w:val="single"/>
        </w:rPr>
        <w:t xml:space="preserve"> – přispění k uhlíkové neutralitě a snížení emisí zákazníků a uživatelů</w:t>
      </w:r>
    </w:p>
    <w:p w14:paraId="1B4B6AFE" w14:textId="6EBECC89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2" w:line="252" w:lineRule="auto"/>
        <w:ind w:right="206"/>
      </w:pPr>
      <w:r>
        <w:t xml:space="preserve">V Japonsku bylo zavedeno řešení </w:t>
      </w:r>
      <w:proofErr w:type="spellStart"/>
      <w:r>
        <w:t>Wattway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, které zajistí energetickou soběstačnost </w:t>
      </w:r>
      <w:r w:rsidR="006E6500">
        <w:t>drobným zařízením</w:t>
      </w:r>
      <w:r w:rsidR="0004119D">
        <w:t xml:space="preserve"> </w:t>
      </w:r>
      <w:r w:rsidR="000A70A9">
        <w:t>instalovaným podél silnic</w:t>
      </w:r>
    </w:p>
    <w:p w14:paraId="375446CD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3"/>
          <w:tab w:val="left" w:pos="1124"/>
        </w:tabs>
        <w:spacing w:before="10" w:line="252" w:lineRule="auto"/>
        <w:ind w:right="206"/>
      </w:pPr>
      <w:r>
        <w:t>Množství materiálu přepravovaného po železnici a/nebo po vodě se oproti roku 2021 zvýšilo, zejména ve Francii</w:t>
      </w:r>
    </w:p>
    <w:p w14:paraId="372CE69D" w14:textId="77777777" w:rsidR="007335FB" w:rsidRPr="00742EFB" w:rsidRDefault="007335FB">
      <w:pPr>
        <w:pStyle w:val="Zkladntext"/>
        <w:spacing w:before="2"/>
        <w:rPr>
          <w:sz w:val="21"/>
        </w:rPr>
      </w:pPr>
    </w:p>
    <w:p w14:paraId="5097DB18" w14:textId="327755DB" w:rsidR="007335FB" w:rsidRPr="00742EFB" w:rsidRDefault="00A870AD">
      <w:pPr>
        <w:pStyle w:val="Odstavecseseznamem"/>
        <w:numPr>
          <w:ilvl w:val="0"/>
          <w:numId w:val="2"/>
        </w:numPr>
        <w:tabs>
          <w:tab w:val="left" w:pos="845"/>
        </w:tabs>
        <w:spacing w:before="1"/>
        <w:jc w:val="both"/>
        <w:rPr>
          <w:rFonts w:ascii="Symbol" w:hAnsi="Symbol"/>
        </w:rPr>
      </w:pPr>
      <w:r>
        <w:rPr>
          <w:u w:val="single"/>
        </w:rPr>
        <w:t xml:space="preserve">6. </w:t>
      </w:r>
      <w:r w:rsidR="00480941">
        <w:rPr>
          <w:u w:val="single"/>
        </w:rPr>
        <w:t>priorita</w:t>
      </w:r>
      <w:r>
        <w:rPr>
          <w:u w:val="single"/>
        </w:rPr>
        <w:t xml:space="preserve"> – začlenění </w:t>
      </w:r>
      <w:r w:rsidR="000A70A9">
        <w:rPr>
          <w:u w:val="single"/>
        </w:rPr>
        <w:t>problematiky</w:t>
      </w:r>
      <w:r>
        <w:rPr>
          <w:u w:val="single"/>
        </w:rPr>
        <w:t xml:space="preserve"> související s ochranou biologické rozmanitosti do našeho podnikání</w:t>
      </w:r>
    </w:p>
    <w:p w14:paraId="6CBCFB30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4"/>
        </w:tabs>
        <w:spacing w:before="2"/>
        <w:ind w:hanging="357"/>
        <w:jc w:val="both"/>
      </w:pPr>
      <w:r>
        <w:t>Den životního prostředí byl v r. 2022 věnován biologické rozmanitosti</w:t>
      </w:r>
    </w:p>
    <w:p w14:paraId="28FD479E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4"/>
        </w:tabs>
        <w:spacing w:before="17" w:line="254" w:lineRule="auto"/>
        <w:ind w:right="205"/>
        <w:jc w:val="both"/>
      </w:pPr>
      <w:r>
        <w:t xml:space="preserve">Několik dceřiných společností pracovalo na projektu sanace brownfieldu společnosti </w:t>
      </w:r>
      <w:proofErr w:type="spellStart"/>
      <w:r>
        <w:t>Duralex</w:t>
      </w:r>
      <w:proofErr w:type="spellEnd"/>
      <w:r>
        <w:t xml:space="preserve"> v </w:t>
      </w:r>
      <w:proofErr w:type="spellStart"/>
      <w:proofErr w:type="gramStart"/>
      <w:r>
        <w:t>Rive</w:t>
      </w:r>
      <w:proofErr w:type="spellEnd"/>
      <w:r>
        <w:t>- de</w:t>
      </w:r>
      <w:proofErr w:type="gramEnd"/>
      <w:r>
        <w:t>-</w:t>
      </w:r>
      <w:proofErr w:type="spellStart"/>
      <w:r>
        <w:t>Gier</w:t>
      </w:r>
      <w:proofErr w:type="spellEnd"/>
      <w:r>
        <w:t xml:space="preserve"> ve Francii: zemní práce, říční díla a ekologické inženýrství, sanace znečištění, silnice a sítě</w:t>
      </w:r>
    </w:p>
    <w:p w14:paraId="17B13086" w14:textId="77777777" w:rsidR="007335FB" w:rsidRPr="00742EFB" w:rsidRDefault="00A870AD">
      <w:pPr>
        <w:pStyle w:val="Odstavecseseznamem"/>
        <w:numPr>
          <w:ilvl w:val="1"/>
          <w:numId w:val="2"/>
        </w:numPr>
        <w:tabs>
          <w:tab w:val="left" w:pos="1124"/>
        </w:tabs>
        <w:spacing w:before="8" w:line="252" w:lineRule="auto"/>
        <w:ind w:right="204"/>
        <w:jc w:val="both"/>
      </w:pPr>
      <w:r>
        <w:t xml:space="preserve">Vzdělávací program </w:t>
      </w:r>
      <w:proofErr w:type="spellStart"/>
      <w:r>
        <w:t>Forest</w:t>
      </w:r>
      <w:proofErr w:type="spellEnd"/>
      <w:r>
        <w:t xml:space="preserve"> &amp; </w:t>
      </w:r>
      <w:proofErr w:type="spellStart"/>
      <w:r>
        <w:t>Life</w:t>
      </w:r>
      <w:proofErr w:type="spellEnd"/>
      <w:r>
        <w:t xml:space="preserve"> zaměřený na zvyšování povědomí mladých lidí o biologické rozmanitosti prostřednictvím výsadby stromů ve Francii (</w:t>
      </w:r>
      <w:proofErr w:type="spellStart"/>
      <w:r>
        <w:t>Mont</w:t>
      </w:r>
      <w:proofErr w:type="spellEnd"/>
      <w:r>
        <w:t xml:space="preserve"> </w:t>
      </w:r>
      <w:proofErr w:type="spellStart"/>
      <w:r>
        <w:t>Ventoux</w:t>
      </w:r>
      <w:proofErr w:type="spellEnd"/>
      <w:r>
        <w:t>) a v Pobřeží slonoviny</w:t>
      </w:r>
    </w:p>
    <w:p w14:paraId="039F3A08" w14:textId="77777777" w:rsidR="007335FB" w:rsidRPr="00742EFB" w:rsidRDefault="00A870AD">
      <w:pPr>
        <w:pStyle w:val="Zkladntext"/>
        <w:spacing w:before="125"/>
        <w:ind w:left="132" w:right="205"/>
        <w:jc w:val="both"/>
      </w:pPr>
      <w:r>
        <w:t xml:space="preserve">Všechna tato opatření jsou součástí nízkouhlíkového závazku společnosti Colas, která si stanovila ambiciózní cíle v souladu s Pařížskou dohodou, potvrzené iniciativou Science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(</w:t>
      </w:r>
      <w:proofErr w:type="spellStart"/>
      <w:r>
        <w:t>SBTi</w:t>
      </w:r>
      <w:proofErr w:type="spellEnd"/>
      <w:r>
        <w:t>): snížit do roku 2030 své přímé emise skleníkových plynů o 30 % a nepřímé emise v dodavatelském řetězci o 30 % ve srovnání s rokem 2019.</w:t>
      </w:r>
    </w:p>
    <w:p w14:paraId="0E8204F9" w14:textId="77777777" w:rsidR="007335FB" w:rsidRPr="00742EFB" w:rsidRDefault="007335FB">
      <w:pPr>
        <w:pStyle w:val="Zkladntext"/>
        <w:rPr>
          <w:sz w:val="20"/>
        </w:rPr>
      </w:pPr>
    </w:p>
    <w:p w14:paraId="47946973" w14:textId="77777777" w:rsidR="007335FB" w:rsidRPr="00742EFB" w:rsidRDefault="00A870AD">
      <w:pPr>
        <w:spacing w:before="94"/>
        <w:ind w:left="633"/>
        <w:jc w:val="both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57AD803" wp14:editId="24BDB220">
            <wp:simplePos x="0" y="0"/>
            <wp:positionH relativeFrom="page">
              <wp:posOffset>539483</wp:posOffset>
            </wp:positionH>
            <wp:positionV relativeFrom="paragraph">
              <wp:posOffset>122591</wp:posOffset>
            </wp:positionV>
            <wp:extent cx="233146" cy="2286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4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C4864"/>
          <w:sz w:val="18"/>
        </w:rPr>
        <w:t>Colas (www.colas.com)</w:t>
      </w:r>
    </w:p>
    <w:p w14:paraId="239E4795" w14:textId="64430C1B" w:rsidR="007335FB" w:rsidRPr="00742EFB" w:rsidRDefault="00A870AD">
      <w:pPr>
        <w:spacing w:before="60"/>
        <w:ind w:left="633" w:right="294"/>
        <w:jc w:val="both"/>
        <w:rPr>
          <w:sz w:val="18"/>
        </w:rPr>
      </w:pPr>
      <w:r>
        <w:rPr>
          <w:sz w:val="18"/>
        </w:rPr>
        <w:t xml:space="preserve">Posláním společnosti Colas, dceřiné společnosti skupiny </w:t>
      </w:r>
      <w:proofErr w:type="spellStart"/>
      <w:r>
        <w:rPr>
          <w:sz w:val="18"/>
        </w:rPr>
        <w:t>Bouygues</w:t>
      </w:r>
      <w:proofErr w:type="spellEnd"/>
      <w:r>
        <w:rPr>
          <w:sz w:val="18"/>
        </w:rPr>
        <w:t xml:space="preserve">, je navrhovat a budovat udržitelnou dopravní infrastrukturu a zajišťovat její údržbu. S podporou sítě 900 </w:t>
      </w:r>
      <w:r w:rsidR="00F760B7">
        <w:rPr>
          <w:sz w:val="18"/>
        </w:rPr>
        <w:t xml:space="preserve">dceřiných </w:t>
      </w:r>
      <w:r w:rsidR="004866AA">
        <w:rPr>
          <w:sz w:val="18"/>
        </w:rPr>
        <w:t xml:space="preserve">stavebních </w:t>
      </w:r>
      <w:r w:rsidR="00F760B7">
        <w:rPr>
          <w:sz w:val="18"/>
        </w:rPr>
        <w:t>společností</w:t>
      </w:r>
      <w:r>
        <w:rPr>
          <w:sz w:val="18"/>
        </w:rPr>
        <w:t xml:space="preserve"> a 3 000 výrobních závodů zabývajících se výrobou materiálu ve více než 50 zemích na pěti kontinentech působí 58 000 zaměstnanců skupiny Colas lokálně a svou činností propojují komunity a podporují současnou i budoucí mobilitu a kontakty. Cílem společnosti Colas je být světovým lídrem v novátorských a udržitelných řešeních mobility.</w:t>
      </w:r>
    </w:p>
    <w:p w14:paraId="0A2CDAB3" w14:textId="5717746F" w:rsidR="007335FB" w:rsidRPr="00742EFB" w:rsidRDefault="00A870AD">
      <w:pPr>
        <w:spacing w:before="120"/>
        <w:ind w:left="633"/>
        <w:jc w:val="both"/>
        <w:rPr>
          <w:sz w:val="18"/>
        </w:rPr>
      </w:pPr>
      <w:r>
        <w:rPr>
          <w:sz w:val="18"/>
        </w:rPr>
        <w:t xml:space="preserve">V roce 2022 dosáhla společnost Colas konsolidovaných </w:t>
      </w:r>
      <w:r w:rsidR="00751313">
        <w:rPr>
          <w:sz w:val="18"/>
        </w:rPr>
        <w:t>tržeb</w:t>
      </w:r>
      <w:r>
        <w:rPr>
          <w:sz w:val="18"/>
        </w:rPr>
        <w:t xml:space="preserve"> v celkové výši 15,5 mld. eur (60 % z toho mimo Francii).</w:t>
      </w:r>
    </w:p>
    <w:p w14:paraId="75CEC803" w14:textId="77777777" w:rsidR="007335FB" w:rsidRPr="00742EFB" w:rsidRDefault="00A870AD">
      <w:pPr>
        <w:spacing w:before="145"/>
        <w:ind w:left="223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C673099" wp14:editId="3DC00F2F">
            <wp:simplePos x="0" y="0"/>
            <wp:positionH relativeFrom="page">
              <wp:posOffset>649236</wp:posOffset>
            </wp:positionH>
            <wp:positionV relativeFrom="paragraph">
              <wp:posOffset>417511</wp:posOffset>
            </wp:positionV>
            <wp:extent cx="160019" cy="16459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0C13615C" wp14:editId="5E8AAD62">
            <wp:simplePos x="0" y="0"/>
            <wp:positionH relativeFrom="page">
              <wp:posOffset>649236</wp:posOffset>
            </wp:positionH>
            <wp:positionV relativeFrom="paragraph">
              <wp:posOffset>646073</wp:posOffset>
            </wp:positionV>
            <wp:extent cx="160020" cy="16001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92A73D4" wp14:editId="3CAA3CB8">
            <wp:simplePos x="0" y="0"/>
            <wp:positionH relativeFrom="page">
              <wp:posOffset>4128490</wp:posOffset>
            </wp:positionH>
            <wp:positionV relativeFrom="paragraph">
              <wp:posOffset>641501</wp:posOffset>
            </wp:positionV>
            <wp:extent cx="164591" cy="16001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DALŠÍ INFORMACE:</w:t>
      </w:r>
    </w:p>
    <w:p w14:paraId="18DC03C4" w14:textId="77777777" w:rsidR="007335FB" w:rsidRPr="00742EFB" w:rsidRDefault="007335FB">
      <w:pPr>
        <w:pStyle w:val="Zkladntext"/>
        <w:spacing w:before="10"/>
        <w:rPr>
          <w:b/>
          <w:sz w:val="24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4377"/>
        <w:gridCol w:w="4358"/>
      </w:tblGrid>
      <w:tr w:rsidR="007335FB" w:rsidRPr="00742EFB" w14:paraId="2D49664A" w14:textId="77777777">
        <w:trPr>
          <w:trHeight w:val="407"/>
        </w:trPr>
        <w:tc>
          <w:tcPr>
            <w:tcW w:w="4377" w:type="dxa"/>
          </w:tcPr>
          <w:p w14:paraId="4B89469A" w14:textId="77777777" w:rsidR="007335FB" w:rsidRPr="00742EFB" w:rsidRDefault="00A870AD">
            <w:pPr>
              <w:pStyle w:val="TableParagraph"/>
              <w:spacing w:line="244" w:lineRule="auto"/>
              <w:ind w:left="50"/>
              <w:rPr>
                <w:sz w:val="16"/>
              </w:rPr>
            </w:pPr>
            <w:r>
              <w:rPr>
                <w:b/>
                <w:sz w:val="16"/>
              </w:rPr>
              <w:t xml:space="preserve">Fabienne BOULOC </w:t>
            </w:r>
            <w:r>
              <w:rPr>
                <w:sz w:val="16"/>
              </w:rPr>
              <w:t xml:space="preserve">tel. +33 6 67 06 90 21 </w:t>
            </w:r>
            <w:hyperlink r:id="rId21">
              <w:r>
                <w:rPr>
                  <w:sz w:val="16"/>
                </w:rPr>
                <w:t>fabienne.bouloc@colas.com</w:t>
              </w:r>
            </w:hyperlink>
          </w:p>
        </w:tc>
        <w:tc>
          <w:tcPr>
            <w:tcW w:w="4358" w:type="dxa"/>
          </w:tcPr>
          <w:p w14:paraId="6C6657F6" w14:textId="77777777" w:rsidR="007335FB" w:rsidRPr="00742EFB" w:rsidRDefault="00A870AD">
            <w:pPr>
              <w:pStyle w:val="TableParagraph"/>
              <w:spacing w:before="34"/>
              <w:ind w:left="765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9E83B3A" wp14:editId="0D351EDA">
                  <wp:extent cx="160020" cy="160019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b/>
                <w:sz w:val="16"/>
              </w:rPr>
              <w:t xml:space="preserve">Olivier PELLETIER </w:t>
            </w:r>
            <w:r>
              <w:rPr>
                <w:sz w:val="16"/>
              </w:rPr>
              <w:t>tel. +33 1 47 61 74 63</w:t>
            </w:r>
          </w:p>
        </w:tc>
      </w:tr>
      <w:tr w:rsidR="007335FB" w:rsidRPr="00742EFB" w14:paraId="20AE9F05" w14:textId="77777777">
        <w:trPr>
          <w:trHeight w:val="244"/>
        </w:trPr>
        <w:tc>
          <w:tcPr>
            <w:tcW w:w="4377" w:type="dxa"/>
          </w:tcPr>
          <w:p w14:paraId="73E5EA57" w14:textId="77777777" w:rsidR="007335FB" w:rsidRPr="00742EFB" w:rsidRDefault="00A870AD">
            <w:pPr>
              <w:pStyle w:val="TableParagraph"/>
              <w:spacing w:before="38"/>
              <w:ind w:left="50"/>
              <w:rPr>
                <w:sz w:val="16"/>
              </w:rPr>
            </w:pPr>
            <w:r>
              <w:rPr>
                <w:b/>
                <w:sz w:val="16"/>
              </w:rPr>
              <w:t xml:space="preserve">Fanny NOLIN </w:t>
            </w:r>
            <w:r>
              <w:rPr>
                <w:sz w:val="16"/>
              </w:rPr>
              <w:t>tel. +33 6 60 20 19 17</w:t>
            </w:r>
          </w:p>
        </w:tc>
        <w:tc>
          <w:tcPr>
            <w:tcW w:w="4358" w:type="dxa"/>
          </w:tcPr>
          <w:p w14:paraId="565BF40E" w14:textId="77777777" w:rsidR="007335FB" w:rsidRPr="00742EFB" w:rsidRDefault="00A870AD">
            <w:pPr>
              <w:pStyle w:val="TableParagraph"/>
              <w:spacing w:before="36"/>
              <w:ind w:left="1233"/>
              <w:rPr>
                <w:sz w:val="16"/>
              </w:rPr>
            </w:pPr>
            <w:r>
              <w:rPr>
                <w:b/>
                <w:sz w:val="16"/>
              </w:rPr>
              <w:t xml:space="preserve">Mélodie LAMIAUX </w:t>
            </w:r>
            <w:r>
              <w:rPr>
                <w:sz w:val="16"/>
              </w:rPr>
              <w:t>tel. +33 1 47 61 75 61</w:t>
            </w:r>
          </w:p>
        </w:tc>
      </w:tr>
      <w:tr w:rsidR="007335FB" w:rsidRPr="00742EFB" w14:paraId="45082C21" w14:textId="77777777">
        <w:trPr>
          <w:trHeight w:val="201"/>
        </w:trPr>
        <w:tc>
          <w:tcPr>
            <w:tcW w:w="4377" w:type="dxa"/>
          </w:tcPr>
          <w:p w14:paraId="661745CD" w14:textId="77777777" w:rsidR="007335FB" w:rsidRPr="00742EFB" w:rsidRDefault="003F273A">
            <w:pPr>
              <w:pStyle w:val="TableParagraph"/>
              <w:spacing w:before="17" w:line="164" w:lineRule="exact"/>
              <w:ind w:left="54"/>
              <w:rPr>
                <w:sz w:val="16"/>
              </w:rPr>
            </w:pPr>
            <w:hyperlink r:id="rId23">
              <w:r w:rsidR="008A25D2">
                <w:rPr>
                  <w:sz w:val="16"/>
                </w:rPr>
                <w:t>fanny.nolin@colas.com</w:t>
              </w:r>
            </w:hyperlink>
          </w:p>
        </w:tc>
        <w:tc>
          <w:tcPr>
            <w:tcW w:w="4358" w:type="dxa"/>
          </w:tcPr>
          <w:p w14:paraId="25DDB226" w14:textId="77777777" w:rsidR="007335FB" w:rsidRPr="00742EFB" w:rsidRDefault="003F273A">
            <w:pPr>
              <w:pStyle w:val="TableParagraph"/>
              <w:spacing w:before="17" w:line="164" w:lineRule="exact"/>
              <w:ind w:left="1250"/>
              <w:rPr>
                <w:sz w:val="16"/>
              </w:rPr>
            </w:pPr>
            <w:hyperlink r:id="rId24">
              <w:r w:rsidR="008A25D2">
                <w:rPr>
                  <w:sz w:val="16"/>
                </w:rPr>
                <w:t>contact-investors@colas.fr</w:t>
              </w:r>
            </w:hyperlink>
          </w:p>
        </w:tc>
      </w:tr>
    </w:tbl>
    <w:p w14:paraId="6591BD09" w14:textId="77777777" w:rsidR="007335FB" w:rsidRPr="00742EFB" w:rsidRDefault="007335FB">
      <w:pPr>
        <w:spacing w:line="164" w:lineRule="exact"/>
        <w:rPr>
          <w:sz w:val="16"/>
        </w:rPr>
        <w:sectPr w:rsidR="007335FB" w:rsidRPr="00742EFB" w:rsidSect="00742EFB">
          <w:pgSz w:w="11910" w:h="16840"/>
          <w:pgMar w:top="1701" w:right="640" w:bottom="660" w:left="720" w:header="202" w:footer="465" w:gutter="0"/>
          <w:cols w:space="720"/>
        </w:sectPr>
      </w:pPr>
    </w:p>
    <w:p w14:paraId="230DF450" w14:textId="5425CE48" w:rsidR="007335FB" w:rsidRPr="00742EFB" w:rsidRDefault="001B4602">
      <w:pPr>
        <w:pStyle w:val="Nadpis1"/>
        <w:spacing w:before="180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9ED518F" wp14:editId="449CF312">
                <wp:simplePos x="0" y="0"/>
                <wp:positionH relativeFrom="page">
                  <wp:posOffset>541020</wp:posOffset>
                </wp:positionH>
                <wp:positionV relativeFrom="paragraph">
                  <wp:posOffset>277495</wp:posOffset>
                </wp:positionV>
                <wp:extent cx="4321810" cy="15240"/>
                <wp:effectExtent l="0" t="0" r="0" b="0"/>
                <wp:wrapNone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1810" cy="15240"/>
                        </a:xfrm>
                        <a:prstGeom prst="rect">
                          <a:avLst/>
                        </a:prstGeom>
                        <a:solidFill>
                          <a:srgbClr val="2C4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4C40D0E" id="docshape12" o:spid="_x0000_s1026" style="position:absolute;margin-left:42.6pt;margin-top:21.85pt;width:340.3pt;height:1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" fillcolor="#2c4864" stroked="f">
                <w10:wrap anchorx="page"/>
              </v:rect>
            </w:pict>
          </mc:Fallback>
        </mc:AlternateContent>
      </w:r>
      <w:bookmarkStart w:id="11" w:name="Consolidated_4th_quarter_condensed_incom"/>
      <w:bookmarkEnd w:id="11"/>
      <w:r w:rsidR="008A25D2">
        <w:rPr>
          <w:color w:val="2C4864"/>
          <w:u w:val="none"/>
        </w:rPr>
        <w:t xml:space="preserve">Konsolidovaný zkrácený výkaz zisku a ztráty za </w:t>
      </w:r>
      <w:r w:rsidR="008A25D2">
        <w:rPr>
          <w:color w:val="2C4864"/>
          <w:sz w:val="16"/>
          <w:u w:val="none"/>
        </w:rPr>
        <w:t xml:space="preserve">4. </w:t>
      </w:r>
      <w:r w:rsidR="008A25D2">
        <w:rPr>
          <w:color w:val="2C4864"/>
          <w:u w:val="none"/>
        </w:rPr>
        <w:t>čtvrtletí 2022</w:t>
      </w:r>
    </w:p>
    <w:p w14:paraId="69626612" w14:textId="77777777" w:rsidR="007335FB" w:rsidRPr="00742EFB" w:rsidRDefault="007335FB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902"/>
        <w:gridCol w:w="1356"/>
        <w:gridCol w:w="1701"/>
        <w:gridCol w:w="1599"/>
        <w:gridCol w:w="1463"/>
      </w:tblGrid>
      <w:tr w:rsidR="007335FB" w:rsidRPr="00742EFB" w14:paraId="20866356" w14:textId="77777777">
        <w:trPr>
          <w:trHeight w:val="1040"/>
        </w:trPr>
        <w:tc>
          <w:tcPr>
            <w:tcW w:w="3902" w:type="dxa"/>
            <w:tcBorders>
              <w:bottom w:val="single" w:sz="8" w:space="0" w:color="A6A6A6"/>
            </w:tcBorders>
          </w:tcPr>
          <w:p w14:paraId="7EF2A58A" w14:textId="77777777" w:rsidR="007335FB" w:rsidRPr="00742EFB" w:rsidRDefault="007335FB">
            <w:pPr>
              <w:pStyle w:val="TableParagraph"/>
              <w:rPr>
                <w:b/>
              </w:rPr>
            </w:pPr>
          </w:p>
          <w:p w14:paraId="3DC599A4" w14:textId="77777777" w:rsidR="007335FB" w:rsidRPr="00742EFB" w:rsidRDefault="007335FB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0A401D1" w14:textId="77777777" w:rsidR="007335FB" w:rsidRPr="00742EFB" w:rsidRDefault="00A870AD">
            <w:pPr>
              <w:pStyle w:val="TableParagraph"/>
              <w:ind w:left="84"/>
              <w:rPr>
                <w:i/>
                <w:sz w:val="20"/>
              </w:rPr>
            </w:pPr>
            <w:r>
              <w:rPr>
                <w:i/>
                <w:color w:val="2C4864"/>
                <w:sz w:val="20"/>
              </w:rPr>
              <w:t>v milionech eur</w:t>
            </w:r>
          </w:p>
        </w:tc>
        <w:tc>
          <w:tcPr>
            <w:tcW w:w="1356" w:type="dxa"/>
            <w:tcBorders>
              <w:bottom w:val="single" w:sz="8" w:space="0" w:color="A6A6A6"/>
            </w:tcBorders>
          </w:tcPr>
          <w:p w14:paraId="0EE69595" w14:textId="77777777" w:rsidR="007335FB" w:rsidRPr="00742EFB" w:rsidRDefault="007335FB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3F0522C3" w14:textId="77777777" w:rsidR="007335FB" w:rsidRPr="00742EFB" w:rsidRDefault="00A870AD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4. čtvrtletí 2021</w:t>
            </w:r>
          </w:p>
        </w:tc>
        <w:tc>
          <w:tcPr>
            <w:tcW w:w="1701" w:type="dxa"/>
            <w:tcBorders>
              <w:bottom w:val="single" w:sz="8" w:space="0" w:color="A6A6A6"/>
            </w:tcBorders>
            <w:shd w:val="clear" w:color="auto" w:fill="FFEC00"/>
          </w:tcPr>
          <w:p w14:paraId="43135E11" w14:textId="77777777" w:rsidR="007335FB" w:rsidRPr="00742EFB" w:rsidRDefault="007335FB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590C9A1A" w14:textId="77777777" w:rsidR="007335FB" w:rsidRPr="00742EFB" w:rsidRDefault="00A870AD">
            <w:pPr>
              <w:pStyle w:val="TableParagraph"/>
              <w:ind w:left="389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4. čtvrtletí 2022</w:t>
            </w:r>
          </w:p>
        </w:tc>
        <w:tc>
          <w:tcPr>
            <w:tcW w:w="1599" w:type="dxa"/>
            <w:tcBorders>
              <w:bottom w:val="single" w:sz="8" w:space="0" w:color="A6A6A6"/>
            </w:tcBorders>
          </w:tcPr>
          <w:p w14:paraId="5380AED0" w14:textId="77777777" w:rsidR="007335FB" w:rsidRPr="00742EFB" w:rsidRDefault="007335F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ABF3376" w14:textId="77777777" w:rsidR="007335FB" w:rsidRPr="00742EFB" w:rsidRDefault="00A870AD">
            <w:pPr>
              <w:pStyle w:val="TableParagraph"/>
              <w:ind w:left="512" w:hanging="341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Změna oproti r. 2021</w:t>
            </w:r>
          </w:p>
        </w:tc>
        <w:tc>
          <w:tcPr>
            <w:tcW w:w="1463" w:type="dxa"/>
            <w:tcBorders>
              <w:bottom w:val="single" w:sz="8" w:space="0" w:color="A6A6A6"/>
            </w:tcBorders>
          </w:tcPr>
          <w:p w14:paraId="6425FDCC" w14:textId="77777777" w:rsidR="007335FB" w:rsidRPr="00742EFB" w:rsidRDefault="00A870AD">
            <w:pPr>
              <w:pStyle w:val="TableParagraph"/>
              <w:spacing w:before="101" w:line="230" w:lineRule="atLeast"/>
              <w:ind w:left="214" w:right="248"/>
              <w:jc w:val="center"/>
              <w:rPr>
                <w:sz w:val="20"/>
              </w:rPr>
            </w:pPr>
            <w:r>
              <w:rPr>
                <w:color w:val="2C4864"/>
                <w:sz w:val="20"/>
              </w:rPr>
              <w:t xml:space="preserve">Při </w:t>
            </w:r>
            <w:proofErr w:type="spellStart"/>
            <w:r>
              <w:rPr>
                <w:color w:val="2C4864"/>
                <w:sz w:val="20"/>
              </w:rPr>
              <w:t>konst</w:t>
            </w:r>
            <w:proofErr w:type="spellEnd"/>
            <w:r>
              <w:rPr>
                <w:color w:val="2C4864"/>
                <w:sz w:val="20"/>
              </w:rPr>
              <w:t xml:space="preserve">. rozsahu a </w:t>
            </w:r>
            <w:proofErr w:type="spellStart"/>
            <w:r>
              <w:rPr>
                <w:color w:val="2C4864"/>
                <w:sz w:val="20"/>
              </w:rPr>
              <w:t>konst</w:t>
            </w:r>
            <w:proofErr w:type="spellEnd"/>
            <w:r>
              <w:rPr>
                <w:color w:val="2C4864"/>
                <w:sz w:val="20"/>
              </w:rPr>
              <w:t>. směn. kurzech</w:t>
            </w:r>
          </w:p>
        </w:tc>
      </w:tr>
      <w:tr w:rsidR="007335FB" w:rsidRPr="00742EFB" w14:paraId="4F0CB021" w14:textId="77777777">
        <w:trPr>
          <w:trHeight w:val="692"/>
        </w:trPr>
        <w:tc>
          <w:tcPr>
            <w:tcW w:w="3902" w:type="dxa"/>
            <w:tcBorders>
              <w:top w:val="single" w:sz="8" w:space="0" w:color="A6A6A6"/>
              <w:bottom w:val="single" w:sz="8" w:space="0" w:color="A6A6A6"/>
            </w:tcBorders>
          </w:tcPr>
          <w:p w14:paraId="5E9DA71E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2111AC" w14:textId="6AB1D1C8" w:rsidR="007335FB" w:rsidRPr="00742EFB" w:rsidRDefault="007C49F0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C4864"/>
                <w:sz w:val="24"/>
              </w:rPr>
              <w:t>Tržby</w:t>
            </w:r>
          </w:p>
        </w:tc>
        <w:tc>
          <w:tcPr>
            <w:tcW w:w="1356" w:type="dxa"/>
            <w:tcBorders>
              <w:top w:val="single" w:sz="8" w:space="0" w:color="A6A6A6"/>
              <w:bottom w:val="single" w:sz="8" w:space="0" w:color="A6A6A6"/>
            </w:tcBorders>
          </w:tcPr>
          <w:p w14:paraId="4CAFE347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AEF4EF" w14:textId="77777777" w:rsidR="007335FB" w:rsidRPr="00742EFB" w:rsidRDefault="00A870AD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3 439</w:t>
            </w:r>
          </w:p>
        </w:tc>
        <w:tc>
          <w:tcPr>
            <w:tcW w:w="1701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FFEC00"/>
          </w:tcPr>
          <w:p w14:paraId="5CF73C01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C5E1A3" w14:textId="77777777" w:rsidR="007335FB" w:rsidRPr="00742EFB" w:rsidRDefault="00A870AD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4 005</w:t>
            </w:r>
          </w:p>
        </w:tc>
        <w:tc>
          <w:tcPr>
            <w:tcW w:w="1599" w:type="dxa"/>
            <w:tcBorders>
              <w:top w:val="single" w:sz="8" w:space="0" w:color="A6A6A6"/>
              <w:bottom w:val="single" w:sz="8" w:space="0" w:color="A6A6A6"/>
            </w:tcBorders>
          </w:tcPr>
          <w:p w14:paraId="296DD394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5A926E" w14:textId="77777777" w:rsidR="007335FB" w:rsidRPr="00742EFB" w:rsidRDefault="00A870AD">
            <w:pPr>
              <w:pStyle w:val="TableParagraph"/>
              <w:ind w:left="469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16%</w:t>
            </w:r>
            <w:proofErr w:type="gramEnd"/>
          </w:p>
        </w:tc>
        <w:tc>
          <w:tcPr>
            <w:tcW w:w="1463" w:type="dxa"/>
            <w:tcBorders>
              <w:top w:val="single" w:sz="8" w:space="0" w:color="A6A6A6"/>
              <w:bottom w:val="single" w:sz="8" w:space="0" w:color="A6A6A6"/>
            </w:tcBorders>
          </w:tcPr>
          <w:p w14:paraId="2EB0729C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298CD5" w14:textId="77777777" w:rsidR="007335FB" w:rsidRPr="00742EFB" w:rsidRDefault="00A870AD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9%</w:t>
            </w:r>
            <w:proofErr w:type="gramEnd"/>
          </w:p>
        </w:tc>
      </w:tr>
      <w:tr w:rsidR="007335FB" w:rsidRPr="00742EFB" w14:paraId="11B20A6A" w14:textId="77777777">
        <w:trPr>
          <w:trHeight w:val="692"/>
        </w:trPr>
        <w:tc>
          <w:tcPr>
            <w:tcW w:w="3902" w:type="dxa"/>
            <w:tcBorders>
              <w:top w:val="single" w:sz="8" w:space="0" w:color="A6A6A6"/>
              <w:bottom w:val="single" w:sz="4" w:space="0" w:color="000000"/>
            </w:tcBorders>
          </w:tcPr>
          <w:p w14:paraId="34CDB948" w14:textId="6444C329" w:rsidR="007335FB" w:rsidRPr="00742EFB" w:rsidRDefault="007C49F0">
            <w:pPr>
              <w:pStyle w:val="TableParagraph"/>
              <w:tabs>
                <w:tab w:val="left" w:pos="1130"/>
                <w:tab w:val="left" w:pos="2373"/>
                <w:tab w:val="left" w:pos="3151"/>
              </w:tabs>
              <w:spacing w:before="121" w:line="270" w:lineRule="atLeast"/>
              <w:ind w:left="84" w:right="270"/>
              <w:rPr>
                <w:sz w:val="24"/>
              </w:rPr>
            </w:pPr>
            <w:r>
              <w:rPr>
                <w:color w:val="2C4864"/>
                <w:sz w:val="24"/>
              </w:rPr>
              <w:t>P</w:t>
            </w:r>
            <w:r w:rsidR="00A870AD">
              <w:rPr>
                <w:color w:val="2C4864"/>
                <w:sz w:val="24"/>
              </w:rPr>
              <w:t>rovozní zisk z</w:t>
            </w:r>
            <w:r>
              <w:rPr>
                <w:color w:val="2C4864"/>
                <w:sz w:val="24"/>
              </w:rPr>
              <w:t xml:space="preserve"> běžné </w:t>
            </w:r>
            <w:r w:rsidR="00A870AD">
              <w:rPr>
                <w:color w:val="2C4864"/>
                <w:sz w:val="24"/>
              </w:rPr>
              <w:t>činnosti</w:t>
            </w:r>
          </w:p>
        </w:tc>
        <w:tc>
          <w:tcPr>
            <w:tcW w:w="1356" w:type="dxa"/>
            <w:tcBorders>
              <w:top w:val="single" w:sz="8" w:space="0" w:color="A6A6A6"/>
              <w:bottom w:val="single" w:sz="4" w:space="0" w:color="000000"/>
            </w:tcBorders>
          </w:tcPr>
          <w:p w14:paraId="5349CA15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DA7A0B" w14:textId="77777777" w:rsidR="007335FB" w:rsidRPr="00742EFB" w:rsidRDefault="00A870AD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209</w:t>
            </w:r>
          </w:p>
        </w:tc>
        <w:tc>
          <w:tcPr>
            <w:tcW w:w="1701" w:type="dxa"/>
            <w:tcBorders>
              <w:top w:val="single" w:sz="8" w:space="0" w:color="A6A6A6"/>
              <w:bottom w:val="single" w:sz="4" w:space="0" w:color="000000"/>
            </w:tcBorders>
            <w:shd w:val="clear" w:color="auto" w:fill="FFEC00"/>
          </w:tcPr>
          <w:p w14:paraId="6888DFD8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00583A" w14:textId="77777777" w:rsidR="007335FB" w:rsidRPr="00742EFB" w:rsidRDefault="00A870AD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249</w:t>
            </w:r>
          </w:p>
        </w:tc>
        <w:tc>
          <w:tcPr>
            <w:tcW w:w="3062" w:type="dxa"/>
            <w:gridSpan w:val="2"/>
            <w:tcBorders>
              <w:top w:val="single" w:sz="8" w:space="0" w:color="A6A6A6"/>
              <w:bottom w:val="single" w:sz="4" w:space="0" w:color="000000"/>
            </w:tcBorders>
          </w:tcPr>
          <w:p w14:paraId="3645A574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E91AB3" w14:textId="77777777" w:rsidR="007335FB" w:rsidRPr="00742EFB" w:rsidRDefault="00A870AD">
            <w:pPr>
              <w:pStyle w:val="TableParagraph"/>
              <w:ind w:left="574"/>
              <w:rPr>
                <w:sz w:val="24"/>
              </w:rPr>
            </w:pPr>
            <w:r>
              <w:rPr>
                <w:color w:val="2C4864"/>
                <w:sz w:val="24"/>
              </w:rPr>
              <w:t>+40</w:t>
            </w:r>
          </w:p>
        </w:tc>
      </w:tr>
      <w:tr w:rsidR="007335FB" w:rsidRPr="00742EFB" w14:paraId="445538C4" w14:textId="77777777">
        <w:trPr>
          <w:trHeight w:val="693"/>
        </w:trPr>
        <w:tc>
          <w:tcPr>
            <w:tcW w:w="3902" w:type="dxa"/>
            <w:tcBorders>
              <w:top w:val="single" w:sz="4" w:space="0" w:color="000000"/>
              <w:bottom w:val="single" w:sz="4" w:space="0" w:color="000000"/>
            </w:tcBorders>
          </w:tcPr>
          <w:p w14:paraId="76463FA0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03C308" w14:textId="77777777" w:rsidR="007335FB" w:rsidRPr="00742EFB" w:rsidRDefault="00A870AD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C4864"/>
                <w:sz w:val="24"/>
              </w:rPr>
              <w:t>Běžný provozní zisk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2B5DBE95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652835" w14:textId="77777777" w:rsidR="007335FB" w:rsidRPr="00742EFB" w:rsidRDefault="00A870AD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207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C00"/>
          </w:tcPr>
          <w:p w14:paraId="31C444E5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93D9DC" w14:textId="77777777" w:rsidR="007335FB" w:rsidRPr="00742EFB" w:rsidRDefault="00A870AD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247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19B081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9507B3" w14:textId="77777777" w:rsidR="007335FB" w:rsidRPr="00742EFB" w:rsidRDefault="00A870AD">
            <w:pPr>
              <w:pStyle w:val="TableParagraph"/>
              <w:ind w:left="574"/>
              <w:rPr>
                <w:sz w:val="24"/>
              </w:rPr>
            </w:pPr>
            <w:r>
              <w:rPr>
                <w:color w:val="2C4864"/>
                <w:sz w:val="24"/>
              </w:rPr>
              <w:t>+40</w:t>
            </w:r>
          </w:p>
        </w:tc>
      </w:tr>
      <w:tr w:rsidR="007335FB" w:rsidRPr="00742EFB" w14:paraId="7C846BAB" w14:textId="77777777">
        <w:trPr>
          <w:trHeight w:val="693"/>
        </w:trPr>
        <w:tc>
          <w:tcPr>
            <w:tcW w:w="3902" w:type="dxa"/>
            <w:tcBorders>
              <w:top w:val="single" w:sz="4" w:space="0" w:color="000000"/>
              <w:bottom w:val="single" w:sz="4" w:space="0" w:color="000000"/>
            </w:tcBorders>
          </w:tcPr>
          <w:p w14:paraId="146F8FC5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EB46DF" w14:textId="77777777" w:rsidR="007335FB" w:rsidRPr="00742EFB" w:rsidRDefault="00A870AD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C4864"/>
                <w:sz w:val="24"/>
              </w:rPr>
              <w:t>Provozní zisk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5B0A855E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AB555E" w14:textId="77777777" w:rsidR="007335FB" w:rsidRPr="00742EFB" w:rsidRDefault="00A870AD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197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C00"/>
          </w:tcPr>
          <w:p w14:paraId="70F6D867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D8DEC7" w14:textId="77777777" w:rsidR="007335FB" w:rsidRPr="00742EFB" w:rsidRDefault="00A870AD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247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E75FC5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51DC7D" w14:textId="77777777" w:rsidR="007335FB" w:rsidRPr="00742EFB" w:rsidRDefault="00A870AD">
            <w:pPr>
              <w:pStyle w:val="TableParagraph"/>
              <w:ind w:left="574"/>
              <w:rPr>
                <w:sz w:val="24"/>
              </w:rPr>
            </w:pPr>
            <w:r>
              <w:rPr>
                <w:color w:val="2C4864"/>
                <w:sz w:val="24"/>
              </w:rPr>
              <w:t>+50</w:t>
            </w:r>
          </w:p>
        </w:tc>
      </w:tr>
      <w:tr w:rsidR="007335FB" w:rsidRPr="00742EFB" w14:paraId="1F3D8229" w14:textId="77777777">
        <w:trPr>
          <w:trHeight w:val="692"/>
        </w:trPr>
        <w:tc>
          <w:tcPr>
            <w:tcW w:w="3902" w:type="dxa"/>
            <w:tcBorders>
              <w:top w:val="single" w:sz="4" w:space="0" w:color="000000"/>
              <w:bottom w:val="single" w:sz="4" w:space="0" w:color="000000"/>
            </w:tcBorders>
          </w:tcPr>
          <w:p w14:paraId="7F236B2A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D327C4" w14:textId="77777777" w:rsidR="007335FB" w:rsidRPr="00742EFB" w:rsidRDefault="00A870AD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C4864"/>
                <w:sz w:val="24"/>
              </w:rPr>
              <w:t>Čistý zisk připadající na skupinu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1BA94746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1FFD54" w14:textId="77777777" w:rsidR="007335FB" w:rsidRPr="00742EFB" w:rsidRDefault="00A870AD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C00"/>
          </w:tcPr>
          <w:p w14:paraId="0E466280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3D79F4" w14:textId="77777777" w:rsidR="007335FB" w:rsidRPr="00742EFB" w:rsidRDefault="00A870AD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162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7C5AFB" w14:textId="77777777" w:rsidR="007335FB" w:rsidRPr="00742EFB" w:rsidRDefault="007335F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BB4B1E" w14:textId="77777777" w:rsidR="007335FB" w:rsidRPr="00742EFB" w:rsidRDefault="00A870AD">
            <w:pPr>
              <w:pStyle w:val="TableParagraph"/>
              <w:ind w:left="574"/>
              <w:rPr>
                <w:sz w:val="24"/>
              </w:rPr>
            </w:pPr>
            <w:r>
              <w:rPr>
                <w:color w:val="2C4864"/>
                <w:sz w:val="24"/>
              </w:rPr>
              <w:t>+28</w:t>
            </w:r>
          </w:p>
        </w:tc>
      </w:tr>
    </w:tbl>
    <w:p w14:paraId="2E0318C2" w14:textId="77777777" w:rsidR="007335FB" w:rsidRPr="00742EFB" w:rsidRDefault="007335FB">
      <w:pPr>
        <w:pStyle w:val="Zkladntext"/>
        <w:rPr>
          <w:b/>
          <w:sz w:val="26"/>
        </w:rPr>
      </w:pPr>
    </w:p>
    <w:p w14:paraId="47D99FE5" w14:textId="72A47DFE" w:rsidR="007335FB" w:rsidRPr="00742EFB" w:rsidRDefault="007C49F0">
      <w:pPr>
        <w:ind w:left="132"/>
        <w:rPr>
          <w:b/>
          <w:sz w:val="24"/>
        </w:rPr>
      </w:pPr>
      <w:bookmarkStart w:id="12" w:name="Revenue_at_December_31,_2022_by_business"/>
      <w:bookmarkEnd w:id="12"/>
      <w:r>
        <w:rPr>
          <w:b/>
          <w:color w:val="2C4864"/>
          <w:sz w:val="24"/>
          <w:u w:val="thick" w:color="2C4864"/>
        </w:rPr>
        <w:t>Tržby</w:t>
      </w:r>
      <w:r w:rsidR="00A870AD">
        <w:rPr>
          <w:b/>
          <w:color w:val="2C4864"/>
          <w:sz w:val="24"/>
          <w:u w:val="thick" w:color="2C4864"/>
        </w:rPr>
        <w:t xml:space="preserve"> k 31. prosinci 2022 podle </w:t>
      </w:r>
      <w:r w:rsidR="00487C38">
        <w:rPr>
          <w:b/>
          <w:color w:val="2C4864"/>
          <w:sz w:val="24"/>
          <w:u w:val="thick" w:color="2C4864"/>
        </w:rPr>
        <w:t xml:space="preserve">obchodních </w:t>
      </w:r>
      <w:r w:rsidR="00A870AD">
        <w:rPr>
          <w:b/>
          <w:color w:val="2C4864"/>
          <w:sz w:val="24"/>
          <w:u w:val="thick" w:color="2C4864"/>
        </w:rPr>
        <w:t>segmentů</w:t>
      </w:r>
    </w:p>
    <w:p w14:paraId="02D7F0BB" w14:textId="77777777" w:rsidR="007335FB" w:rsidRPr="00742EFB" w:rsidRDefault="007335FB">
      <w:pPr>
        <w:pStyle w:val="Zkladntext"/>
        <w:spacing w:before="6"/>
        <w:rPr>
          <w:b/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57"/>
        <w:gridCol w:w="1541"/>
        <w:gridCol w:w="1679"/>
        <w:gridCol w:w="1432"/>
        <w:gridCol w:w="1769"/>
      </w:tblGrid>
      <w:tr w:rsidR="007335FB" w:rsidRPr="00742EFB" w14:paraId="03DCCC77" w14:textId="77777777">
        <w:trPr>
          <w:trHeight w:val="1038"/>
        </w:trPr>
        <w:tc>
          <w:tcPr>
            <w:tcW w:w="3757" w:type="dxa"/>
            <w:tcBorders>
              <w:bottom w:val="single" w:sz="4" w:space="0" w:color="000000"/>
            </w:tcBorders>
          </w:tcPr>
          <w:p w14:paraId="313AF5EC" w14:textId="77777777" w:rsidR="007335FB" w:rsidRPr="00742EFB" w:rsidRDefault="007335FB">
            <w:pPr>
              <w:pStyle w:val="TableParagraph"/>
              <w:rPr>
                <w:b/>
              </w:rPr>
            </w:pPr>
          </w:p>
          <w:p w14:paraId="3DF93D39" w14:textId="77777777" w:rsidR="007335FB" w:rsidRPr="00742EFB" w:rsidRDefault="007335F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DAE8010" w14:textId="77777777" w:rsidR="007335FB" w:rsidRPr="00742EFB" w:rsidRDefault="00A870AD">
            <w:pPr>
              <w:pStyle w:val="TableParagraph"/>
              <w:ind w:left="84"/>
              <w:rPr>
                <w:i/>
                <w:sz w:val="20"/>
              </w:rPr>
            </w:pPr>
            <w:r>
              <w:rPr>
                <w:i/>
                <w:color w:val="2C4864"/>
                <w:sz w:val="20"/>
              </w:rPr>
              <w:t>v milionech eur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4A739CCF" w14:textId="77777777" w:rsidR="007335FB" w:rsidRPr="00742EFB" w:rsidRDefault="007335FB">
            <w:pPr>
              <w:pStyle w:val="TableParagraph"/>
              <w:rPr>
                <w:b/>
                <w:sz w:val="38"/>
              </w:rPr>
            </w:pPr>
          </w:p>
          <w:p w14:paraId="5053977A" w14:textId="77777777" w:rsidR="007335FB" w:rsidRPr="00742EFB" w:rsidRDefault="00A870A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color w:val="2C4864"/>
                <w:sz w:val="24"/>
              </w:rPr>
              <w:t>2021</w:t>
            </w:r>
            <w:r>
              <w:rPr>
                <w:b/>
                <w:color w:val="2C4864"/>
                <w:sz w:val="16"/>
              </w:rPr>
              <w:t>(a)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FFEC00"/>
          </w:tcPr>
          <w:p w14:paraId="31E6FAD6" w14:textId="77777777" w:rsidR="007335FB" w:rsidRPr="00742EFB" w:rsidRDefault="007335FB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0531C394" w14:textId="77777777" w:rsidR="007335FB" w:rsidRPr="00742EFB" w:rsidRDefault="00A870AD">
            <w:pPr>
              <w:pStyle w:val="TableParagraph"/>
              <w:ind w:left="563" w:right="558"/>
              <w:jc w:val="center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2022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6128C474" w14:textId="77777777" w:rsidR="007335FB" w:rsidRPr="00742EFB" w:rsidRDefault="007335F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4057F1D" w14:textId="77777777" w:rsidR="007335FB" w:rsidRPr="00742EFB" w:rsidRDefault="00A870AD">
            <w:pPr>
              <w:pStyle w:val="TableParagraph"/>
              <w:ind w:left="422" w:hanging="341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Změna oproti r. 2021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689A55DC" w14:textId="27769C63" w:rsidR="007335FB" w:rsidRPr="00742EFB" w:rsidRDefault="00A870AD" w:rsidP="008A25D2">
            <w:pPr>
              <w:pStyle w:val="TableParagraph"/>
              <w:spacing w:before="120"/>
              <w:ind w:left="178" w:right="628" w:hanging="39"/>
              <w:jc w:val="right"/>
              <w:rPr>
                <w:sz w:val="20"/>
              </w:rPr>
            </w:pPr>
            <w:r>
              <w:rPr>
                <w:color w:val="2C4864"/>
                <w:sz w:val="20"/>
              </w:rPr>
              <w:t xml:space="preserve">Při </w:t>
            </w:r>
            <w:proofErr w:type="spellStart"/>
            <w:r>
              <w:rPr>
                <w:color w:val="2C4864"/>
                <w:sz w:val="20"/>
              </w:rPr>
              <w:t>konst</w:t>
            </w:r>
            <w:proofErr w:type="spellEnd"/>
            <w:r>
              <w:rPr>
                <w:color w:val="2C4864"/>
                <w:sz w:val="20"/>
              </w:rPr>
              <w:t xml:space="preserve">. rozsahu a </w:t>
            </w:r>
            <w:proofErr w:type="spellStart"/>
            <w:r>
              <w:rPr>
                <w:color w:val="2C4864"/>
                <w:sz w:val="20"/>
              </w:rPr>
              <w:t>konst</w:t>
            </w:r>
            <w:proofErr w:type="spellEnd"/>
            <w:r>
              <w:rPr>
                <w:color w:val="2C4864"/>
                <w:sz w:val="20"/>
              </w:rPr>
              <w:t>. směnných kurzech</w:t>
            </w:r>
          </w:p>
        </w:tc>
      </w:tr>
      <w:tr w:rsidR="007335FB" w:rsidRPr="00742EFB" w14:paraId="09BB6259" w14:textId="77777777">
        <w:trPr>
          <w:trHeight w:val="556"/>
        </w:trPr>
        <w:tc>
          <w:tcPr>
            <w:tcW w:w="3757" w:type="dxa"/>
            <w:tcBorders>
              <w:top w:val="single" w:sz="4" w:space="0" w:color="000000"/>
            </w:tcBorders>
          </w:tcPr>
          <w:p w14:paraId="489CA827" w14:textId="341E7694" w:rsidR="007335FB" w:rsidRPr="00742EFB" w:rsidRDefault="00487C38">
            <w:pPr>
              <w:pStyle w:val="TableParagraph"/>
              <w:spacing w:before="180"/>
              <w:ind w:left="84"/>
            </w:pPr>
            <w:r>
              <w:rPr>
                <w:color w:val="2C4864"/>
              </w:rPr>
              <w:t>Silniční stavby</w:t>
            </w:r>
            <w:r w:rsidR="00A870AD">
              <w:rPr>
                <w:color w:val="2C4864"/>
              </w:rPr>
              <w:t xml:space="preserve"> Francie – Indický oceán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3CEBBF7A" w14:textId="77777777" w:rsidR="007335FB" w:rsidRPr="00742EFB" w:rsidRDefault="00A870AD">
            <w:pPr>
              <w:pStyle w:val="TableParagraph"/>
              <w:spacing w:before="168"/>
              <w:ind w:right="66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5 688</w:t>
            </w:r>
          </w:p>
        </w:tc>
        <w:tc>
          <w:tcPr>
            <w:tcW w:w="1679" w:type="dxa"/>
            <w:tcBorders>
              <w:top w:val="single" w:sz="4" w:space="0" w:color="000000"/>
            </w:tcBorders>
            <w:shd w:val="clear" w:color="auto" w:fill="FFEC00"/>
          </w:tcPr>
          <w:p w14:paraId="3B1D86F5" w14:textId="77777777" w:rsidR="007335FB" w:rsidRPr="00742EFB" w:rsidRDefault="00A870AD">
            <w:pPr>
              <w:pStyle w:val="TableParagraph"/>
              <w:spacing w:before="168"/>
              <w:ind w:right="65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5 939</w:t>
            </w:r>
          </w:p>
        </w:tc>
        <w:tc>
          <w:tcPr>
            <w:tcW w:w="1432" w:type="dxa"/>
            <w:tcBorders>
              <w:top w:val="single" w:sz="4" w:space="0" w:color="000000"/>
            </w:tcBorders>
          </w:tcPr>
          <w:p w14:paraId="76CF4476" w14:textId="77777777" w:rsidR="007335FB" w:rsidRPr="00742EFB" w:rsidRDefault="00A870AD">
            <w:pPr>
              <w:pStyle w:val="TableParagraph"/>
              <w:spacing w:before="168"/>
              <w:ind w:right="256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4%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</w:tcBorders>
          </w:tcPr>
          <w:p w14:paraId="08824C72" w14:textId="77777777" w:rsidR="007335FB" w:rsidRPr="00742EFB" w:rsidRDefault="00A870AD">
            <w:pPr>
              <w:pStyle w:val="TableParagraph"/>
              <w:spacing w:before="168"/>
              <w:ind w:left="497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4%</w:t>
            </w:r>
            <w:proofErr w:type="gramEnd"/>
          </w:p>
        </w:tc>
      </w:tr>
      <w:tr w:rsidR="007335FB" w:rsidRPr="00742EFB" w14:paraId="2617ED77" w14:textId="77777777">
        <w:trPr>
          <w:trHeight w:val="490"/>
        </w:trPr>
        <w:tc>
          <w:tcPr>
            <w:tcW w:w="3757" w:type="dxa"/>
          </w:tcPr>
          <w:p w14:paraId="74B894E5" w14:textId="163B7CB9" w:rsidR="007335FB" w:rsidRPr="00742EFB" w:rsidRDefault="00487C38">
            <w:pPr>
              <w:pStyle w:val="TableParagraph"/>
              <w:spacing w:before="115"/>
              <w:ind w:left="84"/>
            </w:pPr>
            <w:r>
              <w:rPr>
                <w:color w:val="2C4864"/>
              </w:rPr>
              <w:t xml:space="preserve">Silniční stavby </w:t>
            </w:r>
            <w:r w:rsidR="00A870AD">
              <w:rPr>
                <w:color w:val="2C4864"/>
              </w:rPr>
              <w:t>EMEA</w:t>
            </w:r>
          </w:p>
        </w:tc>
        <w:tc>
          <w:tcPr>
            <w:tcW w:w="1541" w:type="dxa"/>
          </w:tcPr>
          <w:p w14:paraId="6835079B" w14:textId="77777777" w:rsidR="007335FB" w:rsidRPr="00742EFB" w:rsidRDefault="00A870AD">
            <w:pPr>
              <w:pStyle w:val="TableParagraph"/>
              <w:spacing w:before="104"/>
              <w:ind w:right="66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2 267</w:t>
            </w:r>
          </w:p>
        </w:tc>
        <w:tc>
          <w:tcPr>
            <w:tcW w:w="1679" w:type="dxa"/>
            <w:shd w:val="clear" w:color="auto" w:fill="FFEC00"/>
          </w:tcPr>
          <w:p w14:paraId="5571AD3C" w14:textId="77777777" w:rsidR="007335FB" w:rsidRPr="00742EFB" w:rsidRDefault="00A870AD">
            <w:pPr>
              <w:pStyle w:val="TableParagraph"/>
              <w:spacing w:before="104"/>
              <w:ind w:right="65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3 245</w:t>
            </w:r>
          </w:p>
        </w:tc>
        <w:tc>
          <w:tcPr>
            <w:tcW w:w="1432" w:type="dxa"/>
          </w:tcPr>
          <w:p w14:paraId="050FAE2B" w14:textId="77777777" w:rsidR="007335FB" w:rsidRPr="00742EFB" w:rsidRDefault="00A870AD">
            <w:pPr>
              <w:pStyle w:val="TableParagraph"/>
              <w:spacing w:before="104"/>
              <w:ind w:right="189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43%</w:t>
            </w:r>
            <w:proofErr w:type="gramEnd"/>
          </w:p>
        </w:tc>
        <w:tc>
          <w:tcPr>
            <w:tcW w:w="1769" w:type="dxa"/>
          </w:tcPr>
          <w:p w14:paraId="45995328" w14:textId="77777777" w:rsidR="007335FB" w:rsidRPr="00742EFB" w:rsidRDefault="00A870AD">
            <w:pPr>
              <w:pStyle w:val="TableParagraph"/>
              <w:spacing w:before="104"/>
              <w:ind w:left="497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16%</w:t>
            </w:r>
            <w:proofErr w:type="gramEnd"/>
          </w:p>
        </w:tc>
      </w:tr>
      <w:tr w:rsidR="007335FB" w:rsidRPr="00742EFB" w14:paraId="623C6403" w14:textId="77777777">
        <w:trPr>
          <w:trHeight w:val="490"/>
        </w:trPr>
        <w:tc>
          <w:tcPr>
            <w:tcW w:w="3757" w:type="dxa"/>
          </w:tcPr>
          <w:p w14:paraId="7EFDB017" w14:textId="18B4D517" w:rsidR="007335FB" w:rsidRPr="00742EFB" w:rsidRDefault="00487C38">
            <w:pPr>
              <w:pStyle w:val="TableParagraph"/>
              <w:spacing w:before="114"/>
              <w:ind w:left="84"/>
            </w:pPr>
            <w:r>
              <w:rPr>
                <w:color w:val="2C4864"/>
              </w:rPr>
              <w:t xml:space="preserve">Silniční stavby </w:t>
            </w:r>
            <w:r w:rsidR="00A870AD">
              <w:rPr>
                <w:color w:val="2C4864"/>
              </w:rPr>
              <w:t>USA</w:t>
            </w:r>
          </w:p>
        </w:tc>
        <w:tc>
          <w:tcPr>
            <w:tcW w:w="1541" w:type="dxa"/>
          </w:tcPr>
          <w:p w14:paraId="65595598" w14:textId="77777777" w:rsidR="007335FB" w:rsidRPr="00742EFB" w:rsidRDefault="00A870AD">
            <w:pPr>
              <w:pStyle w:val="TableParagraph"/>
              <w:spacing w:before="103"/>
              <w:ind w:right="66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1 687</w:t>
            </w:r>
          </w:p>
        </w:tc>
        <w:tc>
          <w:tcPr>
            <w:tcW w:w="1679" w:type="dxa"/>
            <w:shd w:val="clear" w:color="auto" w:fill="FFEC00"/>
          </w:tcPr>
          <w:p w14:paraId="2F359025" w14:textId="77777777" w:rsidR="007335FB" w:rsidRPr="00742EFB" w:rsidRDefault="00A870AD">
            <w:pPr>
              <w:pStyle w:val="TableParagraph"/>
              <w:spacing w:before="103"/>
              <w:ind w:right="65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2 210</w:t>
            </w:r>
          </w:p>
        </w:tc>
        <w:tc>
          <w:tcPr>
            <w:tcW w:w="1432" w:type="dxa"/>
          </w:tcPr>
          <w:p w14:paraId="34E7B2CF" w14:textId="77777777" w:rsidR="007335FB" w:rsidRPr="00742EFB" w:rsidRDefault="00A870AD">
            <w:pPr>
              <w:pStyle w:val="TableParagraph"/>
              <w:spacing w:before="103"/>
              <w:ind w:right="189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31%</w:t>
            </w:r>
            <w:proofErr w:type="gramEnd"/>
          </w:p>
        </w:tc>
        <w:tc>
          <w:tcPr>
            <w:tcW w:w="1769" w:type="dxa"/>
          </w:tcPr>
          <w:p w14:paraId="37C38119" w14:textId="77777777" w:rsidR="007335FB" w:rsidRPr="00742EFB" w:rsidRDefault="00A870AD">
            <w:pPr>
              <w:pStyle w:val="TableParagraph"/>
              <w:spacing w:before="103"/>
              <w:ind w:left="497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16%</w:t>
            </w:r>
            <w:proofErr w:type="gramEnd"/>
          </w:p>
        </w:tc>
      </w:tr>
      <w:tr w:rsidR="007335FB" w:rsidRPr="00742EFB" w14:paraId="4EC6E760" w14:textId="77777777">
        <w:trPr>
          <w:trHeight w:val="467"/>
        </w:trPr>
        <w:tc>
          <w:tcPr>
            <w:tcW w:w="3757" w:type="dxa"/>
          </w:tcPr>
          <w:p w14:paraId="41D5AF51" w14:textId="1F66F5B5" w:rsidR="007335FB" w:rsidRPr="00742EFB" w:rsidRDefault="00487C38">
            <w:pPr>
              <w:pStyle w:val="TableParagraph"/>
              <w:spacing w:before="115"/>
              <w:ind w:left="84"/>
            </w:pPr>
            <w:r>
              <w:rPr>
                <w:color w:val="2C4864"/>
              </w:rPr>
              <w:t xml:space="preserve">Silniční stavby </w:t>
            </w:r>
            <w:r w:rsidR="00A870AD">
              <w:rPr>
                <w:color w:val="2C4864"/>
              </w:rPr>
              <w:t>Kanada</w:t>
            </w:r>
          </w:p>
        </w:tc>
        <w:tc>
          <w:tcPr>
            <w:tcW w:w="1541" w:type="dxa"/>
          </w:tcPr>
          <w:p w14:paraId="3DB3834D" w14:textId="77777777" w:rsidR="007335FB" w:rsidRPr="00742EFB" w:rsidRDefault="00A870AD">
            <w:pPr>
              <w:pStyle w:val="TableParagraph"/>
              <w:spacing w:before="104"/>
              <w:ind w:right="66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1 937</w:t>
            </w:r>
          </w:p>
        </w:tc>
        <w:tc>
          <w:tcPr>
            <w:tcW w:w="1679" w:type="dxa"/>
            <w:shd w:val="clear" w:color="auto" w:fill="FFEC00"/>
          </w:tcPr>
          <w:p w14:paraId="2AC108C0" w14:textId="77777777" w:rsidR="007335FB" w:rsidRPr="00742EFB" w:rsidRDefault="00A870AD">
            <w:pPr>
              <w:pStyle w:val="TableParagraph"/>
              <w:spacing w:before="104"/>
              <w:ind w:right="65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2 347</w:t>
            </w:r>
          </w:p>
        </w:tc>
        <w:tc>
          <w:tcPr>
            <w:tcW w:w="1432" w:type="dxa"/>
          </w:tcPr>
          <w:p w14:paraId="4A79772E" w14:textId="77777777" w:rsidR="007335FB" w:rsidRPr="00742EFB" w:rsidRDefault="00A870AD">
            <w:pPr>
              <w:pStyle w:val="TableParagraph"/>
              <w:spacing w:before="104"/>
              <w:ind w:right="189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21%</w:t>
            </w:r>
            <w:proofErr w:type="gramEnd"/>
          </w:p>
        </w:tc>
        <w:tc>
          <w:tcPr>
            <w:tcW w:w="1769" w:type="dxa"/>
          </w:tcPr>
          <w:p w14:paraId="30DDF9DA" w14:textId="77777777" w:rsidR="007335FB" w:rsidRPr="00742EFB" w:rsidRDefault="00A870AD">
            <w:pPr>
              <w:pStyle w:val="TableParagraph"/>
              <w:spacing w:before="104"/>
              <w:ind w:left="497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12%</w:t>
            </w:r>
            <w:proofErr w:type="gramEnd"/>
          </w:p>
        </w:tc>
      </w:tr>
      <w:tr w:rsidR="007335FB" w:rsidRPr="00742EFB" w14:paraId="63E6DCAA" w14:textId="77777777">
        <w:trPr>
          <w:trHeight w:val="490"/>
        </w:trPr>
        <w:tc>
          <w:tcPr>
            <w:tcW w:w="3757" w:type="dxa"/>
          </w:tcPr>
          <w:p w14:paraId="3FA73D25" w14:textId="2AB73D00" w:rsidR="007335FB" w:rsidRPr="00742EFB" w:rsidRDefault="00487C38">
            <w:pPr>
              <w:pStyle w:val="TableParagraph"/>
              <w:spacing w:before="137"/>
              <w:ind w:left="84"/>
            </w:pPr>
            <w:r>
              <w:rPr>
                <w:color w:val="2C4864"/>
              </w:rPr>
              <w:t xml:space="preserve">Silniční stavby </w:t>
            </w:r>
            <w:r w:rsidR="00A870AD">
              <w:rPr>
                <w:color w:val="2C4864"/>
              </w:rPr>
              <w:t>Asie a Tichomoří</w:t>
            </w:r>
          </w:p>
        </w:tc>
        <w:tc>
          <w:tcPr>
            <w:tcW w:w="1541" w:type="dxa"/>
          </w:tcPr>
          <w:p w14:paraId="0DE1842B" w14:textId="77777777" w:rsidR="007335FB" w:rsidRPr="00742EFB" w:rsidRDefault="00A870AD">
            <w:pPr>
              <w:pStyle w:val="TableParagraph"/>
              <w:spacing w:before="128"/>
              <w:ind w:left="836"/>
              <w:rPr>
                <w:sz w:val="24"/>
              </w:rPr>
            </w:pPr>
            <w:r>
              <w:rPr>
                <w:color w:val="2C4864"/>
                <w:sz w:val="24"/>
              </w:rPr>
              <w:t>339</w:t>
            </w:r>
          </w:p>
        </w:tc>
        <w:tc>
          <w:tcPr>
            <w:tcW w:w="1679" w:type="dxa"/>
            <w:shd w:val="clear" w:color="auto" w:fill="FFEC00"/>
          </w:tcPr>
          <w:p w14:paraId="1F98234A" w14:textId="77777777" w:rsidR="007335FB" w:rsidRPr="00742EFB" w:rsidRDefault="00A870AD">
            <w:pPr>
              <w:pStyle w:val="TableParagraph"/>
              <w:spacing w:before="128"/>
              <w:ind w:left="975"/>
              <w:rPr>
                <w:sz w:val="24"/>
              </w:rPr>
            </w:pPr>
            <w:r>
              <w:rPr>
                <w:color w:val="2C4864"/>
                <w:sz w:val="24"/>
              </w:rPr>
              <w:t>434</w:t>
            </w:r>
          </w:p>
        </w:tc>
        <w:tc>
          <w:tcPr>
            <w:tcW w:w="1432" w:type="dxa"/>
          </w:tcPr>
          <w:p w14:paraId="2A8E942B" w14:textId="77777777" w:rsidR="007335FB" w:rsidRPr="00742EFB" w:rsidRDefault="00A870AD">
            <w:pPr>
              <w:pStyle w:val="TableParagraph"/>
              <w:spacing w:before="80"/>
              <w:ind w:right="189"/>
              <w:jc w:val="right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28%</w:t>
            </w:r>
            <w:proofErr w:type="gramEnd"/>
          </w:p>
        </w:tc>
        <w:tc>
          <w:tcPr>
            <w:tcW w:w="1769" w:type="dxa"/>
          </w:tcPr>
          <w:p w14:paraId="3AD6F7A2" w14:textId="77777777" w:rsidR="007335FB" w:rsidRPr="00742EFB" w:rsidRDefault="00A870AD">
            <w:pPr>
              <w:pStyle w:val="TableParagraph"/>
              <w:spacing w:before="80"/>
              <w:ind w:left="497"/>
              <w:rPr>
                <w:sz w:val="24"/>
              </w:rPr>
            </w:pPr>
            <w:r>
              <w:rPr>
                <w:color w:val="2C4864"/>
                <w:sz w:val="24"/>
              </w:rPr>
              <w:t>+</w:t>
            </w:r>
            <w:proofErr w:type="gramStart"/>
            <w:r>
              <w:rPr>
                <w:color w:val="2C4864"/>
                <w:sz w:val="24"/>
              </w:rPr>
              <w:t>22%</w:t>
            </w:r>
            <w:proofErr w:type="gramEnd"/>
          </w:p>
        </w:tc>
      </w:tr>
      <w:tr w:rsidR="007335FB" w:rsidRPr="00742EFB" w14:paraId="6EE10E89" w14:textId="77777777">
        <w:trPr>
          <w:trHeight w:val="450"/>
        </w:trPr>
        <w:tc>
          <w:tcPr>
            <w:tcW w:w="3757" w:type="dxa"/>
            <w:tcBorders>
              <w:bottom w:val="single" w:sz="4" w:space="0" w:color="000000"/>
            </w:tcBorders>
          </w:tcPr>
          <w:p w14:paraId="2AAC454B" w14:textId="4E7378F6" w:rsidR="007335FB" w:rsidRPr="00742EFB" w:rsidRDefault="00123FEA">
            <w:pPr>
              <w:pStyle w:val="TableParagraph"/>
              <w:spacing w:before="138"/>
              <w:ind w:left="84"/>
              <w:rPr>
                <w:b/>
              </w:rPr>
            </w:pPr>
            <w:r w:rsidRPr="00123FEA">
              <w:rPr>
                <w:b/>
                <w:color w:val="2C4864"/>
              </w:rPr>
              <w:t xml:space="preserve">Silniční stavby </w:t>
            </w:r>
            <w:r w:rsidR="00A870AD">
              <w:rPr>
                <w:b/>
                <w:color w:val="2C4864"/>
              </w:rPr>
              <w:t>celkem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2DEB186D" w14:textId="77777777" w:rsidR="007335FB" w:rsidRPr="00742EFB" w:rsidRDefault="00A870AD">
            <w:pPr>
              <w:pStyle w:val="TableParagraph"/>
              <w:spacing w:before="127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11 918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FFEC00"/>
          </w:tcPr>
          <w:p w14:paraId="2F14E0B2" w14:textId="77777777" w:rsidR="007335FB" w:rsidRPr="00742EFB" w:rsidRDefault="00A870AD">
            <w:pPr>
              <w:pStyle w:val="TableParagraph"/>
              <w:spacing w:before="127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14 175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4EFCD100" w14:textId="77777777" w:rsidR="007335FB" w:rsidRPr="00742EFB" w:rsidRDefault="00A870AD">
            <w:pPr>
              <w:pStyle w:val="TableParagraph"/>
              <w:spacing w:before="79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</w:t>
            </w:r>
            <w:proofErr w:type="gramStart"/>
            <w:r>
              <w:rPr>
                <w:b/>
                <w:color w:val="2C4864"/>
                <w:sz w:val="24"/>
              </w:rPr>
              <w:t>19%</w:t>
            </w:r>
            <w:proofErr w:type="gramEnd"/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53EAB9A7" w14:textId="77777777" w:rsidR="007335FB" w:rsidRPr="00742EFB" w:rsidRDefault="00A870AD">
            <w:pPr>
              <w:pStyle w:val="TableParagraph"/>
              <w:spacing w:before="79"/>
              <w:ind w:left="497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</w:t>
            </w:r>
            <w:proofErr w:type="gramStart"/>
            <w:r>
              <w:rPr>
                <w:b/>
                <w:color w:val="2C4864"/>
                <w:sz w:val="24"/>
              </w:rPr>
              <w:t>10%</w:t>
            </w:r>
            <w:proofErr w:type="gramEnd"/>
          </w:p>
        </w:tc>
      </w:tr>
      <w:tr w:rsidR="007335FB" w:rsidRPr="00742EFB" w14:paraId="75EBAAD0" w14:textId="77777777">
        <w:trPr>
          <w:trHeight w:val="491"/>
        </w:trPr>
        <w:tc>
          <w:tcPr>
            <w:tcW w:w="3757" w:type="dxa"/>
            <w:tcBorders>
              <w:top w:val="single" w:sz="4" w:space="0" w:color="000000"/>
              <w:bottom w:val="single" w:sz="4" w:space="0" w:color="000000"/>
            </w:tcBorders>
          </w:tcPr>
          <w:p w14:paraId="4AF799ED" w14:textId="41ECB7F1" w:rsidR="007335FB" w:rsidRPr="00742EFB" w:rsidRDefault="008E6672">
            <w:pPr>
              <w:pStyle w:val="TableParagraph"/>
              <w:spacing w:before="179"/>
              <w:ind w:left="84"/>
              <w:rPr>
                <w:b/>
              </w:rPr>
            </w:pPr>
            <w:r w:rsidRPr="008E6672">
              <w:rPr>
                <w:b/>
                <w:color w:val="2C4864"/>
              </w:rPr>
              <w:t>Železniční stavby a další specializované činnosti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14:paraId="17D8F231" w14:textId="77777777" w:rsidR="007335FB" w:rsidRPr="00742EFB" w:rsidRDefault="00A870AD">
            <w:pPr>
              <w:pStyle w:val="TableParagraph"/>
              <w:spacing w:before="168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1 302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C00"/>
          </w:tcPr>
          <w:p w14:paraId="78CFF426" w14:textId="77777777" w:rsidR="007335FB" w:rsidRPr="00742EFB" w:rsidRDefault="00A870AD">
            <w:pPr>
              <w:pStyle w:val="TableParagraph"/>
              <w:spacing w:before="168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1 346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14:paraId="5CD65867" w14:textId="77777777" w:rsidR="007335FB" w:rsidRPr="00742EFB" w:rsidRDefault="00A870AD">
            <w:pPr>
              <w:pStyle w:val="TableParagraph"/>
              <w:spacing w:before="120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</w:t>
            </w:r>
            <w:proofErr w:type="gramStart"/>
            <w:r>
              <w:rPr>
                <w:b/>
                <w:color w:val="2C4864"/>
                <w:sz w:val="24"/>
              </w:rPr>
              <w:t>3%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</w:tcPr>
          <w:p w14:paraId="260A5856" w14:textId="77777777" w:rsidR="007335FB" w:rsidRPr="00742EFB" w:rsidRDefault="00A870AD">
            <w:pPr>
              <w:pStyle w:val="TableParagraph"/>
              <w:spacing w:before="120"/>
              <w:ind w:left="497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</w:t>
            </w:r>
            <w:proofErr w:type="gramStart"/>
            <w:r>
              <w:rPr>
                <w:b/>
                <w:color w:val="2C4864"/>
                <w:sz w:val="24"/>
              </w:rPr>
              <w:t>2%</w:t>
            </w:r>
            <w:proofErr w:type="gramEnd"/>
          </w:p>
        </w:tc>
      </w:tr>
      <w:tr w:rsidR="007335FB" w:rsidRPr="00742EFB" w14:paraId="1CFA839A" w14:textId="77777777">
        <w:trPr>
          <w:trHeight w:val="489"/>
        </w:trPr>
        <w:tc>
          <w:tcPr>
            <w:tcW w:w="3757" w:type="dxa"/>
            <w:tcBorders>
              <w:top w:val="single" w:sz="4" w:space="0" w:color="000000"/>
              <w:bottom w:val="single" w:sz="4" w:space="0" w:color="000000"/>
            </w:tcBorders>
          </w:tcPr>
          <w:p w14:paraId="6D04EA04" w14:textId="77777777" w:rsidR="007335FB" w:rsidRPr="00742EFB" w:rsidRDefault="00A870AD">
            <w:pPr>
              <w:pStyle w:val="TableParagraph"/>
              <w:spacing w:before="177"/>
              <w:ind w:left="84"/>
              <w:rPr>
                <w:b/>
              </w:rPr>
            </w:pPr>
            <w:r>
              <w:rPr>
                <w:b/>
                <w:color w:val="2C4864"/>
              </w:rPr>
              <w:t>Mateřská společnost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14:paraId="7092906A" w14:textId="77777777" w:rsidR="007335FB" w:rsidRPr="00742EFB" w:rsidRDefault="00A870AD">
            <w:pPr>
              <w:pStyle w:val="TableParagraph"/>
              <w:spacing w:before="168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C00"/>
          </w:tcPr>
          <w:p w14:paraId="41BB212D" w14:textId="77777777" w:rsidR="007335FB" w:rsidRPr="00742EFB" w:rsidRDefault="00A870AD">
            <w:pPr>
              <w:pStyle w:val="TableParagraph"/>
              <w:spacing w:before="168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14:paraId="42F4A020" w14:textId="77777777" w:rsidR="007335FB" w:rsidRPr="00742EFB" w:rsidRDefault="00A870AD">
            <w:pPr>
              <w:pStyle w:val="TableParagraph"/>
              <w:spacing w:before="120"/>
              <w:ind w:left="789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--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</w:tcPr>
          <w:p w14:paraId="3DAFD13A" w14:textId="77777777" w:rsidR="007335FB" w:rsidRPr="00742EFB" w:rsidRDefault="00A870AD">
            <w:pPr>
              <w:pStyle w:val="TableParagraph"/>
              <w:spacing w:before="120"/>
              <w:ind w:left="497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--</w:t>
            </w:r>
          </w:p>
        </w:tc>
      </w:tr>
      <w:tr w:rsidR="007335FB" w:rsidRPr="00742EFB" w14:paraId="7A682617" w14:textId="77777777">
        <w:trPr>
          <w:trHeight w:val="491"/>
        </w:trPr>
        <w:tc>
          <w:tcPr>
            <w:tcW w:w="3757" w:type="dxa"/>
            <w:tcBorders>
              <w:top w:val="single" w:sz="4" w:space="0" w:color="000000"/>
              <w:bottom w:val="single" w:sz="4" w:space="0" w:color="000000"/>
            </w:tcBorders>
          </w:tcPr>
          <w:p w14:paraId="51976324" w14:textId="77777777" w:rsidR="007335FB" w:rsidRPr="00742EFB" w:rsidRDefault="00A870AD">
            <w:pPr>
              <w:pStyle w:val="TableParagraph"/>
              <w:spacing w:before="179"/>
              <w:ind w:left="84"/>
              <w:rPr>
                <w:b/>
              </w:rPr>
            </w:pPr>
            <w:r>
              <w:rPr>
                <w:b/>
                <w:color w:val="2C4864"/>
              </w:rPr>
              <w:t>CELKEM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14:paraId="37C33EC2" w14:textId="77777777" w:rsidR="007335FB" w:rsidRPr="00742EFB" w:rsidRDefault="00A870AD">
            <w:pPr>
              <w:pStyle w:val="TableParagraph"/>
              <w:spacing w:before="168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13 226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C00"/>
          </w:tcPr>
          <w:p w14:paraId="584B7AC8" w14:textId="77777777" w:rsidR="007335FB" w:rsidRPr="00742EFB" w:rsidRDefault="00A870AD">
            <w:pPr>
              <w:pStyle w:val="TableParagraph"/>
              <w:spacing w:before="168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15 529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14:paraId="62B2307B" w14:textId="77777777" w:rsidR="007335FB" w:rsidRPr="00742EFB" w:rsidRDefault="00A870AD">
            <w:pPr>
              <w:pStyle w:val="TableParagraph"/>
              <w:spacing w:before="123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</w:t>
            </w:r>
            <w:proofErr w:type="gramStart"/>
            <w:r>
              <w:rPr>
                <w:b/>
                <w:color w:val="2C4864"/>
                <w:sz w:val="24"/>
              </w:rPr>
              <w:t>17%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</w:tcPr>
          <w:p w14:paraId="68FAD91D" w14:textId="77777777" w:rsidR="007335FB" w:rsidRPr="00742EFB" w:rsidRDefault="00A870AD">
            <w:pPr>
              <w:pStyle w:val="TableParagraph"/>
              <w:spacing w:before="123"/>
              <w:ind w:left="497"/>
              <w:rPr>
                <w:b/>
                <w:sz w:val="24"/>
              </w:rPr>
            </w:pPr>
            <w:r>
              <w:rPr>
                <w:b/>
                <w:color w:val="2C4864"/>
                <w:sz w:val="24"/>
              </w:rPr>
              <w:t>+</w:t>
            </w:r>
            <w:proofErr w:type="gramStart"/>
            <w:r>
              <w:rPr>
                <w:b/>
                <w:color w:val="2C4864"/>
                <w:sz w:val="24"/>
              </w:rPr>
              <w:t>9%</w:t>
            </w:r>
            <w:proofErr w:type="gramEnd"/>
          </w:p>
        </w:tc>
      </w:tr>
    </w:tbl>
    <w:p w14:paraId="088A4A87" w14:textId="77777777" w:rsidR="007335FB" w:rsidRPr="00742EFB" w:rsidRDefault="00A870AD">
      <w:pPr>
        <w:spacing w:before="132"/>
        <w:ind w:left="132"/>
        <w:rPr>
          <w:i/>
          <w:sz w:val="16"/>
        </w:rPr>
      </w:pPr>
      <w:r>
        <w:rPr>
          <w:i/>
          <w:color w:val="2C4864"/>
          <w:sz w:val="16"/>
        </w:rPr>
        <w:t>(a) V roce 2022 byla Latinská Amerika organizačně zařazena do regionu EMEA. Číselné údaje byly přepracovány tak, aby odrážely tuto reorganizaci.</w:t>
      </w:r>
    </w:p>
    <w:p w14:paraId="3C59CE6C" w14:textId="77777777" w:rsidR="007335FB" w:rsidRPr="00742EFB" w:rsidRDefault="007335FB">
      <w:pPr>
        <w:pStyle w:val="Zkladntext"/>
        <w:rPr>
          <w:i/>
          <w:sz w:val="20"/>
        </w:rPr>
      </w:pPr>
    </w:p>
    <w:p w14:paraId="5C50D39C" w14:textId="50C1C73C" w:rsidR="007335FB" w:rsidRPr="00742EFB" w:rsidRDefault="001B4602">
      <w:pPr>
        <w:pStyle w:val="Zkladntext"/>
        <w:spacing w:before="8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5EB5EA" wp14:editId="05595FED">
                <wp:simplePos x="0" y="0"/>
                <wp:positionH relativeFrom="page">
                  <wp:posOffset>531495</wp:posOffset>
                </wp:positionH>
                <wp:positionV relativeFrom="paragraph">
                  <wp:posOffset>217170</wp:posOffset>
                </wp:positionV>
                <wp:extent cx="6545580" cy="970915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970915"/>
                        </a:xfrm>
                        <a:prstGeom prst="rect">
                          <a:avLst/>
                        </a:prstGeom>
                        <a:solidFill>
                          <a:srgbClr val="E5E2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11348" w14:textId="77777777" w:rsidR="007335FB" w:rsidRDefault="00A870AD">
                            <w:pPr>
                              <w:pStyle w:val="Zkladntext"/>
                              <w:spacing w:before="81" w:line="297" w:lineRule="auto"/>
                              <w:ind w:left="156" w:right="12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Statutární auditoři provedli řádný audit a účetní závěrku v plném rozsahu potvrdili. Účetní výkazy a přílohy jsou k dispozici na adrese </w:t>
                            </w:r>
                            <w:hyperlink r:id="rId25">
                              <w:r>
                                <w:rPr>
                                  <w:color w:val="001F5F"/>
                                  <w:u w:val="single" w:color="001F5F"/>
                                </w:rPr>
                                <w:t>www.colas.com</w:t>
                              </w:r>
                            </w:hyperlink>
                            <w:r>
                              <w:rPr>
                                <w:color w:val="001F5F"/>
                              </w:rPr>
                              <w:t>.</w:t>
                            </w:r>
                          </w:p>
                          <w:p w14:paraId="574D8CA5" w14:textId="77777777" w:rsidR="007335FB" w:rsidRDefault="00A870AD">
                            <w:pPr>
                              <w:pStyle w:val="Zkladntext"/>
                              <w:ind w:left="15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Prezentace pro finanční analytiky se uskuteční 23. února 2023 ve 14:30 a bude k dispozici on-line na adrese </w:t>
                            </w:r>
                            <w:hyperlink r:id="rId26">
                              <w:r>
                                <w:rPr>
                                  <w:color w:val="001F5F"/>
                                  <w:u w:val="single" w:color="001F5F"/>
                                </w:rPr>
                                <w:t>www.colas.com</w:t>
                              </w:r>
                            </w:hyperlink>
                            <w:r>
                              <w:rPr>
                                <w:color w:val="001F5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EB5EA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41.85pt;margin-top:17.1pt;width:515.4pt;height:76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" fillcolor="#e5e2dd" stroked="f">
                <v:textbox inset="0,0,0,0">
                  <w:txbxContent>
                    <w:p w14:paraId="2F011348" w14:textId="77777777" w:rsidR="007335FB" w:rsidRDefault="00A870AD">
                      <w:pPr>
                        <w:pStyle w:val="Zkladntext"/>
                        <w:spacing w:before="81" w:line="297" w:lineRule="auto"/>
                        <w:ind w:left="156" w:right="123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Statutární auditoři provedli řádný audit a účetní závěrku v plném rozsahu potvrdili. Účetní výkazy a přílohy jsou k dispozici na adrese </w:t>
                      </w:r>
                      <w:hyperlink r:id="rId27">
                        <w:r>
                          <w:rPr>
                            <w:color w:val="001F5F"/>
                            <w:u w:val="single" w:color="001F5F"/>
                          </w:rPr>
                          <w:t>www.colas.com</w:t>
                        </w:r>
                      </w:hyperlink>
                      <w:r>
                        <w:rPr>
                          <w:color w:val="001F5F"/>
                        </w:rPr>
                        <w:t>.</w:t>
                      </w:r>
                    </w:p>
                    <w:p w14:paraId="574D8CA5" w14:textId="77777777" w:rsidR="007335FB" w:rsidRDefault="00A870AD">
                      <w:pPr>
                        <w:pStyle w:val="Zkladntext"/>
                        <w:ind w:left="15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Prezentace pro finanční analytiky se uskuteční 23. února 2023 ve 14:30 a bude k dispozici on-line na adrese </w:t>
                      </w:r>
                      <w:hyperlink r:id="rId28">
                        <w:r>
                          <w:rPr>
                            <w:color w:val="001F5F"/>
                            <w:u w:val="single" w:color="001F5F"/>
                          </w:rPr>
                          <w:t>www.colas.com</w:t>
                        </w:r>
                      </w:hyperlink>
                      <w:r>
                        <w:rPr>
                          <w:color w:val="001F5F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D2E15D" w14:textId="77777777" w:rsidR="007335FB" w:rsidRPr="00742EFB" w:rsidRDefault="007335FB">
      <w:pPr>
        <w:rPr>
          <w:sz w:val="27"/>
        </w:rPr>
        <w:sectPr w:rsidR="007335FB" w:rsidRPr="00742EFB">
          <w:pgSz w:w="11910" w:h="16840"/>
          <w:pgMar w:top="1220" w:right="640" w:bottom="660" w:left="720" w:header="202" w:footer="465" w:gutter="0"/>
          <w:cols w:space="720"/>
        </w:sectPr>
      </w:pPr>
    </w:p>
    <w:p w14:paraId="6C1C7085" w14:textId="77777777" w:rsidR="007335FB" w:rsidRPr="00742EFB" w:rsidRDefault="00A870AD">
      <w:pPr>
        <w:pStyle w:val="Nadpis1"/>
        <w:spacing w:before="185"/>
        <w:rPr>
          <w:u w:val="none"/>
        </w:rPr>
      </w:pPr>
      <w:bookmarkStart w:id="13" w:name="Glossary"/>
      <w:bookmarkEnd w:id="13"/>
      <w:r>
        <w:rPr>
          <w:color w:val="2C4864"/>
          <w:u w:val="thick" w:color="2C4864"/>
        </w:rPr>
        <w:lastRenderedPageBreak/>
        <w:t>Slovník pojmů</w:t>
      </w:r>
    </w:p>
    <w:p w14:paraId="1A157FF3" w14:textId="77777777" w:rsidR="007335FB" w:rsidRPr="00742EFB" w:rsidRDefault="007335FB">
      <w:pPr>
        <w:pStyle w:val="Zkladntext"/>
        <w:spacing w:before="9"/>
        <w:rPr>
          <w:b/>
          <w:sz w:val="20"/>
        </w:rPr>
      </w:pPr>
    </w:p>
    <w:p w14:paraId="45DA5AD4" w14:textId="5E77CFEC" w:rsidR="007335FB" w:rsidRPr="00742EFB" w:rsidRDefault="00791E43">
      <w:pPr>
        <w:pStyle w:val="Zkladntext"/>
        <w:spacing w:before="1"/>
        <w:ind w:left="132" w:right="206"/>
        <w:jc w:val="both"/>
      </w:pPr>
      <w:r>
        <w:rPr>
          <w:b/>
        </w:rPr>
        <w:t>Nasmlouvané zakázky</w:t>
      </w:r>
      <w:r w:rsidR="00A870AD">
        <w:t>: objem práce, která má být ještě provedena na projektech, na které byla přijata závazná objednávka, tj. smlouva byla podepsána a nabyla účinnosti (po vydání oznámení o zahájení prací a zrušení odkladných doložek).</w:t>
      </w:r>
    </w:p>
    <w:p w14:paraId="64DB50C7" w14:textId="41D9016A" w:rsidR="007335FB" w:rsidRPr="00742EFB" w:rsidRDefault="00A870AD">
      <w:pPr>
        <w:spacing w:before="160"/>
        <w:ind w:left="132"/>
      </w:pPr>
      <w:r>
        <w:rPr>
          <w:b/>
        </w:rPr>
        <w:t xml:space="preserve">Změny </w:t>
      </w:r>
      <w:r w:rsidR="00791E43">
        <w:rPr>
          <w:b/>
        </w:rPr>
        <w:t>tržeb</w:t>
      </w:r>
      <w:r>
        <w:rPr>
          <w:b/>
        </w:rPr>
        <w:t xml:space="preserve"> při konstantním rozsahu </w:t>
      </w:r>
      <w:r w:rsidR="00791E43">
        <w:rPr>
          <w:b/>
        </w:rPr>
        <w:t xml:space="preserve">konsolidace </w:t>
      </w:r>
      <w:r>
        <w:rPr>
          <w:b/>
        </w:rPr>
        <w:t>a konstantních směnných kurzech</w:t>
      </w:r>
      <w:r>
        <w:t>:</w:t>
      </w:r>
    </w:p>
    <w:p w14:paraId="4CB6D35C" w14:textId="77777777" w:rsidR="007335FB" w:rsidRPr="00742EFB" w:rsidRDefault="00A870AD">
      <w:pPr>
        <w:pStyle w:val="Odstavecseseznamem"/>
        <w:numPr>
          <w:ilvl w:val="0"/>
          <w:numId w:val="1"/>
        </w:numPr>
        <w:tabs>
          <w:tab w:val="left" w:pos="269"/>
        </w:tabs>
        <w:spacing w:before="119"/>
        <w:ind w:right="881" w:hanging="125"/>
      </w:pPr>
      <w:r>
        <w:t>při konstantních směnných kurzech: změna po přepočtu tržeb v cizích měnách za běžné období směnnými kurzy za srovnatelné období,</w:t>
      </w:r>
    </w:p>
    <w:p w14:paraId="1CD74DEF" w14:textId="2617E008" w:rsidR="007335FB" w:rsidRPr="00742EFB" w:rsidRDefault="00A870AD">
      <w:pPr>
        <w:pStyle w:val="Odstavecseseznamem"/>
        <w:numPr>
          <w:ilvl w:val="0"/>
          <w:numId w:val="1"/>
        </w:numPr>
        <w:tabs>
          <w:tab w:val="left" w:pos="269"/>
        </w:tabs>
        <w:spacing w:before="121" w:line="252" w:lineRule="exact"/>
        <w:ind w:left="268"/>
      </w:pPr>
      <w:r>
        <w:t>při konstantním rozsahu</w:t>
      </w:r>
      <w:r w:rsidR="005C1B05">
        <w:t xml:space="preserve"> konsolidace</w:t>
      </w:r>
      <w:r>
        <w:t xml:space="preserve">: změna </w:t>
      </w:r>
      <w:r w:rsidR="005C1B05">
        <w:t>tržeb</w:t>
      </w:r>
      <w:r>
        <w:t xml:space="preserve"> za srovnávaná období upravená takto:</w:t>
      </w:r>
    </w:p>
    <w:p w14:paraId="0AD597AE" w14:textId="1290B980" w:rsidR="007335FB" w:rsidRPr="00742EFB" w:rsidRDefault="00A870AD">
      <w:pPr>
        <w:pStyle w:val="Odstavecseseznamem"/>
        <w:numPr>
          <w:ilvl w:val="1"/>
          <w:numId w:val="1"/>
        </w:numPr>
        <w:tabs>
          <w:tab w:val="left" w:pos="698"/>
          <w:tab w:val="left" w:pos="699"/>
        </w:tabs>
        <w:ind w:right="207" w:hanging="358"/>
      </w:pPr>
      <w:r>
        <w:t xml:space="preserve">u akvizic tak, že se z </w:t>
      </w:r>
      <w:r w:rsidR="005C1B05">
        <w:t>tržeb</w:t>
      </w:r>
      <w:r>
        <w:t xml:space="preserve"> za běžné období odečtou tržby nabytého subjektu, které nemají ve srovnatelném období ekvivalent,</w:t>
      </w:r>
    </w:p>
    <w:p w14:paraId="3F28971F" w14:textId="07202120" w:rsidR="007335FB" w:rsidRPr="00742EFB" w:rsidRDefault="00A870AD">
      <w:pPr>
        <w:pStyle w:val="Odstavecseseznamem"/>
        <w:numPr>
          <w:ilvl w:val="1"/>
          <w:numId w:val="1"/>
        </w:numPr>
        <w:tabs>
          <w:tab w:val="left" w:pos="698"/>
          <w:tab w:val="left" w:pos="699"/>
        </w:tabs>
        <w:ind w:right="206" w:hanging="358"/>
      </w:pPr>
      <w:r>
        <w:t xml:space="preserve">u prodejů tak, že se z </w:t>
      </w:r>
      <w:r w:rsidR="00787A38">
        <w:t>tržeb</w:t>
      </w:r>
      <w:r>
        <w:t xml:space="preserve"> za srovnatelné období odečtou tržby odprodaného subjektu, které nemají v běžném období ekvivalent.</w:t>
      </w:r>
    </w:p>
    <w:p w14:paraId="133A60D9" w14:textId="6099E31A" w:rsidR="007335FB" w:rsidRPr="00742EFB" w:rsidRDefault="00E914ED">
      <w:pPr>
        <w:spacing w:before="81"/>
        <w:ind w:left="132" w:right="205"/>
        <w:jc w:val="both"/>
      </w:pPr>
      <w:r>
        <w:rPr>
          <w:b/>
        </w:rPr>
        <w:t>P</w:t>
      </w:r>
      <w:r w:rsidR="00A870AD">
        <w:rPr>
          <w:b/>
        </w:rPr>
        <w:t>rovozní zisk z</w:t>
      </w:r>
      <w:r>
        <w:rPr>
          <w:b/>
        </w:rPr>
        <w:t xml:space="preserve"> běžné </w:t>
      </w:r>
      <w:r w:rsidR="00A870AD">
        <w:rPr>
          <w:b/>
        </w:rPr>
        <w:t>činnosti (COPA)</w:t>
      </w:r>
      <w:r w:rsidR="00A870AD">
        <w:t>: běžný provozní zisk před odpisy nehmotných aktiv vykázaných z akvizic.</w:t>
      </w:r>
    </w:p>
    <w:p w14:paraId="41A21D7A" w14:textId="09996CAF" w:rsidR="007335FB" w:rsidRPr="00742EFB" w:rsidRDefault="00A870AD">
      <w:pPr>
        <w:pStyle w:val="Zkladntext"/>
        <w:spacing w:before="119"/>
        <w:ind w:left="132" w:right="206"/>
        <w:jc w:val="both"/>
      </w:pPr>
      <w:r>
        <w:rPr>
          <w:b/>
        </w:rPr>
        <w:t>Volný peněžní tok</w:t>
      </w:r>
      <w:r>
        <w:t xml:space="preserve">: čistý peněžní tok (stanovený po odečtení i) nákladů na čistý dluh, </w:t>
      </w:r>
      <w:proofErr w:type="spellStart"/>
      <w:r>
        <w:t>ii</w:t>
      </w:r>
      <w:proofErr w:type="spellEnd"/>
      <w:r>
        <w:t xml:space="preserve">) úrokových nákladů z leasingových závazků a </w:t>
      </w:r>
      <w:proofErr w:type="spellStart"/>
      <w:r>
        <w:t>iii</w:t>
      </w:r>
      <w:proofErr w:type="spellEnd"/>
      <w:r>
        <w:t xml:space="preserve">) zaplacených daní z příjmu) minus čisté kapitálové výdaje a splátky leasingových závazků. Vypočítává se před změnami WCR (požadavku na </w:t>
      </w:r>
      <w:r w:rsidR="002567E8">
        <w:t>provozní</w:t>
      </w:r>
      <w:r>
        <w:t xml:space="preserve"> kapitál).</w:t>
      </w:r>
    </w:p>
    <w:p w14:paraId="0351B774" w14:textId="77777777" w:rsidR="007335FB" w:rsidRPr="00742EFB" w:rsidRDefault="007335FB">
      <w:pPr>
        <w:pStyle w:val="Zkladntext"/>
        <w:spacing w:before="9"/>
        <w:rPr>
          <w:sz w:val="20"/>
        </w:rPr>
      </w:pPr>
    </w:p>
    <w:p w14:paraId="70F7805B" w14:textId="77777777" w:rsidR="007335FB" w:rsidRPr="00742EFB" w:rsidRDefault="00A870AD">
      <w:pPr>
        <w:pStyle w:val="Zkladntext"/>
        <w:ind w:left="132" w:right="205"/>
        <w:jc w:val="both"/>
      </w:pPr>
      <w:r>
        <w:rPr>
          <w:b/>
        </w:rPr>
        <w:t>Čistý přebytek peněžních prostředků</w:t>
      </w:r>
      <w:proofErr w:type="gramStart"/>
      <w:r>
        <w:rPr>
          <w:b/>
        </w:rPr>
        <w:t>/(</w:t>
      </w:r>
      <w:proofErr w:type="gramEnd"/>
      <w:r>
        <w:rPr>
          <w:b/>
        </w:rPr>
        <w:t>čistý dluh)</w:t>
      </w:r>
      <w:r>
        <w:t>: souhrn peněžních prostředků a peněžních ekvivalentů, kontokorentních úvěrů a krátkodobých bankovních půjček, dlouhodobých a krátkodobých dluhů a finančních nástrojů. Čistý přebytek peněžních prostředků</w:t>
      </w:r>
      <w:proofErr w:type="gramStart"/>
      <w:r>
        <w:t>/(</w:t>
      </w:r>
      <w:proofErr w:type="gramEnd"/>
      <w:r>
        <w:t>čistý dluh) nezahrnuje dlouhodobé a krátkodobé leasingové závazky. Kladné číslo představuje čistý přebytek peněžních prostředků a záporné číslo představuje čistý dluh.</w:t>
      </w:r>
    </w:p>
    <w:sectPr w:rsidR="007335FB" w:rsidRPr="00742EFB">
      <w:pgSz w:w="11910" w:h="16840"/>
      <w:pgMar w:top="1220" w:right="640" w:bottom="660" w:left="720" w:header="202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97C3" w14:textId="77777777" w:rsidR="0007056B" w:rsidRDefault="00A870AD">
      <w:r>
        <w:separator/>
      </w:r>
    </w:p>
  </w:endnote>
  <w:endnote w:type="continuationSeparator" w:id="0">
    <w:p w14:paraId="0CF74D9C" w14:textId="77777777" w:rsidR="0007056B" w:rsidRDefault="00A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A4A3" w14:textId="77777777" w:rsidR="001B4602" w:rsidRDefault="001B46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75AC" w14:textId="77777777" w:rsidR="001B4602" w:rsidRDefault="001B46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F3DD" w14:textId="77777777" w:rsidR="001B4602" w:rsidRDefault="001B460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A6D1" w14:textId="66C9A00B" w:rsidR="007335FB" w:rsidRDefault="001B460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7152" behindDoc="1" locked="0" layoutInCell="1" allowOverlap="1" wp14:anchorId="30778BBD" wp14:editId="409D1F61">
              <wp:simplePos x="0" y="0"/>
              <wp:positionH relativeFrom="page">
                <wp:posOffset>0</wp:posOffset>
              </wp:positionH>
              <wp:positionV relativeFrom="page">
                <wp:posOffset>10281285</wp:posOffset>
              </wp:positionV>
              <wp:extent cx="6716395" cy="103505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16395" cy="103505"/>
                      </a:xfrm>
                      <a:custGeom>
                        <a:avLst/>
                        <a:gdLst>
                          <a:gd name="T0" fmla="*/ 10577 w 10577"/>
                          <a:gd name="T1" fmla="+- 0 16191 16191"/>
                          <a:gd name="T2" fmla="*/ 16191 h 163"/>
                          <a:gd name="T3" fmla="*/ 0 w 10577"/>
                          <a:gd name="T4" fmla="+- 0 16191 16191"/>
                          <a:gd name="T5" fmla="*/ 16191 h 163"/>
                          <a:gd name="T6" fmla="*/ 0 w 10577"/>
                          <a:gd name="T7" fmla="+- 0 16354 16191"/>
                          <a:gd name="T8" fmla="*/ 16354 h 163"/>
                          <a:gd name="T9" fmla="*/ 10241 w 10577"/>
                          <a:gd name="T10" fmla="+- 0 16354 16191"/>
                          <a:gd name="T11" fmla="*/ 16354 h 163"/>
                          <a:gd name="T12" fmla="*/ 10284 w 10577"/>
                          <a:gd name="T13" fmla="+- 0 16351 16191"/>
                          <a:gd name="T14" fmla="*/ 16351 h 163"/>
                          <a:gd name="T15" fmla="*/ 10367 w 10577"/>
                          <a:gd name="T16" fmla="+- 0 16328 16191"/>
                          <a:gd name="T17" fmla="*/ 16328 h 163"/>
                          <a:gd name="T18" fmla="*/ 10451 w 10577"/>
                          <a:gd name="T19" fmla="+- 0 16284 16191"/>
                          <a:gd name="T20" fmla="*/ 16284 h 163"/>
                          <a:gd name="T21" fmla="*/ 10536 w 10577"/>
                          <a:gd name="T22" fmla="+- 0 16224 16191"/>
                          <a:gd name="T23" fmla="*/ 16224 h 163"/>
                          <a:gd name="T24" fmla="*/ 10577 w 10577"/>
                          <a:gd name="T25" fmla="+- 0 16191 16191"/>
                          <a:gd name="T26" fmla="*/ 16191 h 163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</a:cxnLst>
                        <a:rect l="0" t="0" r="r" b="b"/>
                        <a:pathLst>
                          <a:path w="10577" h="163">
                            <a:moveTo>
                              <a:pt x="10577" y="0"/>
                            </a:moveTo>
                            <a:lnTo>
                              <a:pt x="0" y="0"/>
                            </a:lnTo>
                            <a:lnTo>
                              <a:pt x="0" y="163"/>
                            </a:lnTo>
                            <a:lnTo>
                              <a:pt x="10241" y="163"/>
                            </a:lnTo>
                            <a:lnTo>
                              <a:pt x="10284" y="160"/>
                            </a:lnTo>
                            <a:lnTo>
                              <a:pt x="10367" y="137"/>
                            </a:lnTo>
                            <a:lnTo>
                              <a:pt x="10451" y="93"/>
                            </a:lnTo>
                            <a:lnTo>
                              <a:pt x="10536" y="33"/>
                            </a:lnTo>
                            <a:lnTo>
                              <a:pt x="10577" y="0"/>
                            </a:lnTo>
                            <a:close/>
                          </a:path>
                        </a:pathLst>
                      </a:custGeom>
                      <a:solidFill>
                        <a:srgbClr val="FFE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57057DE" id="docshape9" o:spid="_x0000_s1026" style="position:absolute;margin-left:0;margin-top:809.55pt;width:528.85pt;height:8.1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7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" path="m10577,l,,,163r10241,l10284,160r83,-23l10451,93r85,-60l10577,xe" fillcolor="#ffed00" stroked="f">
              <v:path arrowok="t" o:connecttype="custom" o:connectlocs="6716395,10281285;0,10281285;0,10384790;6503035,10384790;6530340,10382885;6583045,10368280;6636385,10340340;6690360,10302240;6716395,1028128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7664" behindDoc="1" locked="0" layoutInCell="1" allowOverlap="1" wp14:anchorId="75388DE6" wp14:editId="6A24734D">
              <wp:simplePos x="0" y="0"/>
              <wp:positionH relativeFrom="page">
                <wp:posOffset>6897370</wp:posOffset>
              </wp:positionH>
              <wp:positionV relativeFrom="page">
                <wp:posOffset>10258425</wp:posOffset>
              </wp:positionV>
              <wp:extent cx="173990" cy="19621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0F0A" w14:textId="77777777" w:rsidR="007335FB" w:rsidRDefault="00A870A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8DE6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543.1pt;margin-top:807.75pt;width:13.7pt;height:15.4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" filled="f" stroked="f">
              <v:textbox inset="0,0,0,0">
                <w:txbxContent>
                  <w:p w14:paraId="6C040F0A" w14:textId="77777777" w:rsidR="007335FB" w:rsidRDefault="00A870A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991E" w14:textId="77777777" w:rsidR="0007056B" w:rsidRDefault="00A870AD">
      <w:r>
        <w:separator/>
      </w:r>
    </w:p>
  </w:footnote>
  <w:footnote w:type="continuationSeparator" w:id="0">
    <w:p w14:paraId="713B4696" w14:textId="77777777" w:rsidR="0007056B" w:rsidRDefault="00A8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6485" w14:textId="77777777" w:rsidR="001B4602" w:rsidRDefault="001B46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D19E" w14:textId="77777777" w:rsidR="001B4602" w:rsidRDefault="001B46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DB72" w14:textId="77777777" w:rsidR="001B4602" w:rsidRDefault="001B460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150D" w14:textId="77777777" w:rsidR="007335FB" w:rsidRDefault="00A870A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A1B939B" wp14:editId="3EFAA422">
          <wp:simplePos x="0" y="0"/>
          <wp:positionH relativeFrom="page">
            <wp:posOffset>539483</wp:posOffset>
          </wp:positionH>
          <wp:positionV relativeFrom="page">
            <wp:posOffset>128015</wp:posOffset>
          </wp:positionV>
          <wp:extent cx="1569720" cy="655320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72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B65"/>
    <w:multiLevelType w:val="hybridMultilevel"/>
    <w:tmpl w:val="1A72CDC8"/>
    <w:lvl w:ilvl="0" w:tplc="0B08836C">
      <w:numFmt w:val="bullet"/>
      <w:lvlText w:val=""/>
      <w:lvlJc w:val="left"/>
      <w:pPr>
        <w:ind w:left="844" w:hanging="356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1468D7A">
      <w:numFmt w:val="bullet"/>
      <w:lvlText w:val="-"/>
      <w:lvlJc w:val="left"/>
      <w:pPr>
        <w:ind w:left="1123" w:hanging="356"/>
      </w:pPr>
      <w:rPr>
        <w:rFonts w:ascii="Myriad Pro" w:eastAsia="Myriad Pro" w:hAnsi="Myriad Pro" w:cs="Myriad Pro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FF144C50">
      <w:numFmt w:val="bullet"/>
      <w:lvlText w:val="•"/>
      <w:lvlJc w:val="left"/>
      <w:pPr>
        <w:ind w:left="2167" w:hanging="356"/>
      </w:pPr>
      <w:rPr>
        <w:rFonts w:hint="default"/>
        <w:lang w:val="en-US" w:eastAsia="en-US" w:bidi="ar-SA"/>
      </w:rPr>
    </w:lvl>
    <w:lvl w:ilvl="3" w:tplc="0C94E514">
      <w:numFmt w:val="bullet"/>
      <w:lvlText w:val="•"/>
      <w:lvlJc w:val="left"/>
      <w:pPr>
        <w:ind w:left="3214" w:hanging="356"/>
      </w:pPr>
      <w:rPr>
        <w:rFonts w:hint="default"/>
        <w:lang w:val="en-US" w:eastAsia="en-US" w:bidi="ar-SA"/>
      </w:rPr>
    </w:lvl>
    <w:lvl w:ilvl="4" w:tplc="B148914A">
      <w:numFmt w:val="bullet"/>
      <w:lvlText w:val="•"/>
      <w:lvlJc w:val="left"/>
      <w:pPr>
        <w:ind w:left="4261" w:hanging="356"/>
      </w:pPr>
      <w:rPr>
        <w:rFonts w:hint="default"/>
        <w:lang w:val="en-US" w:eastAsia="en-US" w:bidi="ar-SA"/>
      </w:rPr>
    </w:lvl>
    <w:lvl w:ilvl="5" w:tplc="6E1A3A7A">
      <w:numFmt w:val="bullet"/>
      <w:lvlText w:val="•"/>
      <w:lvlJc w:val="left"/>
      <w:pPr>
        <w:ind w:left="5308" w:hanging="356"/>
      </w:pPr>
      <w:rPr>
        <w:rFonts w:hint="default"/>
        <w:lang w:val="en-US" w:eastAsia="en-US" w:bidi="ar-SA"/>
      </w:rPr>
    </w:lvl>
    <w:lvl w:ilvl="6" w:tplc="AB2C2848">
      <w:numFmt w:val="bullet"/>
      <w:lvlText w:val="•"/>
      <w:lvlJc w:val="left"/>
      <w:pPr>
        <w:ind w:left="6355" w:hanging="356"/>
      </w:pPr>
      <w:rPr>
        <w:rFonts w:hint="default"/>
        <w:lang w:val="en-US" w:eastAsia="en-US" w:bidi="ar-SA"/>
      </w:rPr>
    </w:lvl>
    <w:lvl w:ilvl="7" w:tplc="A2F89210">
      <w:numFmt w:val="bullet"/>
      <w:lvlText w:val="•"/>
      <w:lvlJc w:val="left"/>
      <w:pPr>
        <w:ind w:left="7402" w:hanging="356"/>
      </w:pPr>
      <w:rPr>
        <w:rFonts w:hint="default"/>
        <w:lang w:val="en-US" w:eastAsia="en-US" w:bidi="ar-SA"/>
      </w:rPr>
    </w:lvl>
    <w:lvl w:ilvl="8" w:tplc="F90255BE">
      <w:numFmt w:val="bullet"/>
      <w:lvlText w:val="•"/>
      <w:lvlJc w:val="left"/>
      <w:pPr>
        <w:ind w:left="8450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22B41E5A"/>
    <w:multiLevelType w:val="hybridMultilevel"/>
    <w:tmpl w:val="2D66EDD4"/>
    <w:lvl w:ilvl="0" w:tplc="97DAEB58">
      <w:start w:val="1"/>
      <w:numFmt w:val="lowerLetter"/>
      <w:lvlText w:val="(%1)"/>
      <w:lvlJc w:val="left"/>
      <w:pPr>
        <w:ind w:left="492" w:hanging="360"/>
      </w:pPr>
      <w:rPr>
        <w:rFonts w:ascii="Arial" w:eastAsia="Arial" w:hAnsi="Arial" w:cs="Arial" w:hint="default"/>
        <w:b w:val="0"/>
        <w:bCs w:val="0"/>
        <w:i/>
        <w:iCs/>
        <w:color w:val="2C4864"/>
        <w:w w:val="99"/>
        <w:sz w:val="18"/>
        <w:szCs w:val="18"/>
        <w:lang w:val="en-US" w:eastAsia="en-US" w:bidi="ar-SA"/>
      </w:rPr>
    </w:lvl>
    <w:lvl w:ilvl="1" w:tplc="50D20D0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D7709954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DAC8E812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 w:tplc="98C8AC46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5" w:tplc="A508D1EE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6" w:tplc="1FB024C6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7" w:tplc="4C0E2EA0">
      <w:numFmt w:val="bullet"/>
      <w:lvlText w:val="•"/>
      <w:lvlJc w:val="left"/>
      <w:pPr>
        <w:ind w:left="7531" w:hanging="360"/>
      </w:pPr>
      <w:rPr>
        <w:rFonts w:hint="default"/>
        <w:lang w:val="en-US" w:eastAsia="en-US" w:bidi="ar-SA"/>
      </w:rPr>
    </w:lvl>
    <w:lvl w:ilvl="8" w:tplc="228EE81C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FD24206"/>
    <w:multiLevelType w:val="multilevel"/>
    <w:tmpl w:val="62782B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4965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21361"/>
    <w:multiLevelType w:val="hybridMultilevel"/>
    <w:tmpl w:val="540CC7A6"/>
    <w:lvl w:ilvl="0" w:tplc="AF4A1BE4">
      <w:numFmt w:val="bullet"/>
      <w:lvlText w:val="-"/>
      <w:lvlJc w:val="left"/>
      <w:pPr>
        <w:ind w:left="256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7E7966">
      <w:numFmt w:val="bullet"/>
      <w:lvlText w:val="•"/>
      <w:lvlJc w:val="left"/>
      <w:pPr>
        <w:ind w:left="772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C90A122C">
      <w:numFmt w:val="bullet"/>
      <w:lvlText w:val="•"/>
      <w:lvlJc w:val="left"/>
      <w:pPr>
        <w:ind w:left="1864" w:hanging="284"/>
      </w:pPr>
      <w:rPr>
        <w:rFonts w:hint="default"/>
        <w:lang w:val="en-US" w:eastAsia="en-US" w:bidi="ar-SA"/>
      </w:rPr>
    </w:lvl>
    <w:lvl w:ilvl="3" w:tplc="A17A6E48">
      <w:numFmt w:val="bullet"/>
      <w:lvlText w:val="•"/>
      <w:lvlJc w:val="left"/>
      <w:pPr>
        <w:ind w:left="2949" w:hanging="284"/>
      </w:pPr>
      <w:rPr>
        <w:rFonts w:hint="default"/>
        <w:lang w:val="en-US" w:eastAsia="en-US" w:bidi="ar-SA"/>
      </w:rPr>
    </w:lvl>
    <w:lvl w:ilvl="4" w:tplc="453208B2">
      <w:numFmt w:val="bullet"/>
      <w:lvlText w:val="•"/>
      <w:lvlJc w:val="left"/>
      <w:pPr>
        <w:ind w:left="4034" w:hanging="284"/>
      </w:pPr>
      <w:rPr>
        <w:rFonts w:hint="default"/>
        <w:lang w:val="en-US" w:eastAsia="en-US" w:bidi="ar-SA"/>
      </w:rPr>
    </w:lvl>
    <w:lvl w:ilvl="5" w:tplc="E8A0D828">
      <w:numFmt w:val="bullet"/>
      <w:lvlText w:val="•"/>
      <w:lvlJc w:val="left"/>
      <w:pPr>
        <w:ind w:left="5119" w:hanging="284"/>
      </w:pPr>
      <w:rPr>
        <w:rFonts w:hint="default"/>
        <w:lang w:val="en-US" w:eastAsia="en-US" w:bidi="ar-SA"/>
      </w:rPr>
    </w:lvl>
    <w:lvl w:ilvl="6" w:tplc="08C0F0DE">
      <w:numFmt w:val="bullet"/>
      <w:lvlText w:val="•"/>
      <w:lvlJc w:val="left"/>
      <w:pPr>
        <w:ind w:left="6204" w:hanging="284"/>
      </w:pPr>
      <w:rPr>
        <w:rFonts w:hint="default"/>
        <w:lang w:val="en-US" w:eastAsia="en-US" w:bidi="ar-SA"/>
      </w:rPr>
    </w:lvl>
    <w:lvl w:ilvl="7" w:tplc="FFDC52AC">
      <w:numFmt w:val="bullet"/>
      <w:lvlText w:val="•"/>
      <w:lvlJc w:val="left"/>
      <w:pPr>
        <w:ind w:left="7289" w:hanging="284"/>
      </w:pPr>
      <w:rPr>
        <w:rFonts w:hint="default"/>
        <w:lang w:val="en-US" w:eastAsia="en-US" w:bidi="ar-SA"/>
      </w:rPr>
    </w:lvl>
    <w:lvl w:ilvl="8" w:tplc="062E5F14">
      <w:numFmt w:val="bullet"/>
      <w:lvlText w:val="•"/>
      <w:lvlJc w:val="left"/>
      <w:pPr>
        <w:ind w:left="8374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B"/>
    <w:rsid w:val="000075D2"/>
    <w:rsid w:val="0004119D"/>
    <w:rsid w:val="0004243A"/>
    <w:rsid w:val="00060260"/>
    <w:rsid w:val="00063E95"/>
    <w:rsid w:val="0007056B"/>
    <w:rsid w:val="0007690F"/>
    <w:rsid w:val="000A70A9"/>
    <w:rsid w:val="000C6E92"/>
    <w:rsid w:val="00123FEA"/>
    <w:rsid w:val="0012780F"/>
    <w:rsid w:val="00140A2C"/>
    <w:rsid w:val="00166CB4"/>
    <w:rsid w:val="00174241"/>
    <w:rsid w:val="001B4602"/>
    <w:rsid w:val="001F05EE"/>
    <w:rsid w:val="002567E8"/>
    <w:rsid w:val="00296A49"/>
    <w:rsid w:val="002E4D2E"/>
    <w:rsid w:val="003E1C3D"/>
    <w:rsid w:val="003E466C"/>
    <w:rsid w:val="003F273A"/>
    <w:rsid w:val="00400EFF"/>
    <w:rsid w:val="00480941"/>
    <w:rsid w:val="004866AA"/>
    <w:rsid w:val="00487C38"/>
    <w:rsid w:val="004D3A21"/>
    <w:rsid w:val="004D72E2"/>
    <w:rsid w:val="00555DE8"/>
    <w:rsid w:val="00595E7D"/>
    <w:rsid w:val="005C1B05"/>
    <w:rsid w:val="005E428F"/>
    <w:rsid w:val="00664AF7"/>
    <w:rsid w:val="00677CC0"/>
    <w:rsid w:val="00682A86"/>
    <w:rsid w:val="006E6500"/>
    <w:rsid w:val="0071162C"/>
    <w:rsid w:val="007335FB"/>
    <w:rsid w:val="00742EFB"/>
    <w:rsid w:val="00751313"/>
    <w:rsid w:val="00787A38"/>
    <w:rsid w:val="00791E43"/>
    <w:rsid w:val="00795259"/>
    <w:rsid w:val="007C49F0"/>
    <w:rsid w:val="008A25D2"/>
    <w:rsid w:val="008B4795"/>
    <w:rsid w:val="008C6865"/>
    <w:rsid w:val="008E6672"/>
    <w:rsid w:val="009500A3"/>
    <w:rsid w:val="009564ED"/>
    <w:rsid w:val="009E701E"/>
    <w:rsid w:val="00A55692"/>
    <w:rsid w:val="00A83EBD"/>
    <w:rsid w:val="00A870AD"/>
    <w:rsid w:val="00C2038A"/>
    <w:rsid w:val="00C43A9D"/>
    <w:rsid w:val="00C7019D"/>
    <w:rsid w:val="00D07F85"/>
    <w:rsid w:val="00DC1775"/>
    <w:rsid w:val="00DE28E6"/>
    <w:rsid w:val="00E837C7"/>
    <w:rsid w:val="00E914ED"/>
    <w:rsid w:val="00EA75BA"/>
    <w:rsid w:val="00F267C1"/>
    <w:rsid w:val="00F70237"/>
    <w:rsid w:val="00F760B7"/>
    <w:rsid w:val="00FE0912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36B65"/>
  <w15:docId w15:val="{3C691B5E-F612-4B2A-A271-097359ED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32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spacing w:before="12"/>
      <w:ind w:left="6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341"/>
      <w:ind w:left="3375" w:right="3446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844" w:hanging="356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0">
    <w:name w:val="Základní text_"/>
    <w:basedOn w:val="Standardnpsmoodstavce"/>
    <w:link w:val="Zkladntext1"/>
    <w:rsid w:val="009564ED"/>
    <w:rPr>
      <w:rFonts w:ascii="Arial" w:eastAsia="Arial" w:hAnsi="Arial" w:cs="Arial"/>
      <w:b/>
      <w:bCs/>
      <w:color w:val="2C4965"/>
    </w:rPr>
  </w:style>
  <w:style w:type="paragraph" w:customStyle="1" w:styleId="Zkladntext1">
    <w:name w:val="Základní text1"/>
    <w:basedOn w:val="Normln"/>
    <w:link w:val="Zkladntext0"/>
    <w:rsid w:val="009564ED"/>
    <w:pPr>
      <w:autoSpaceDE/>
      <w:autoSpaceDN/>
      <w:spacing w:after="100" w:line="257" w:lineRule="auto"/>
    </w:pPr>
    <w:rPr>
      <w:b/>
      <w:bCs/>
      <w:color w:val="2C4965"/>
    </w:rPr>
  </w:style>
  <w:style w:type="paragraph" w:styleId="Revize">
    <w:name w:val="Revision"/>
    <w:hidden/>
    <w:uiPriority w:val="99"/>
    <w:semiHidden/>
    <w:rsid w:val="001B4602"/>
    <w:pPr>
      <w:widowControl/>
      <w:autoSpaceDE/>
      <w:autoSpaceDN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1B4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602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B4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602"/>
    <w:rPr>
      <w:rFonts w:ascii="Arial" w:eastAsia="Arial" w:hAnsi="Arial" w:cs="Arial"/>
    </w:rPr>
  </w:style>
  <w:style w:type="paragraph" w:styleId="Titulek">
    <w:name w:val="caption"/>
    <w:basedOn w:val="Normln"/>
    <w:next w:val="Normln"/>
    <w:uiPriority w:val="35"/>
    <w:unhideWhenUsed/>
    <w:qFormat/>
    <w:rsid w:val="00063E9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hyperlink" Target="http://www.cola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bienne.bouloc@colas.com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http://www.colas.com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contact-investors@colas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mailto:fanny.nolin@colas.com" TargetMode="External"/><Relationship Id="rId28" Type="http://schemas.openxmlformats.org/officeDocument/2006/relationships/hyperlink" Target="http://www.colas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hyperlink" Target="http://www.colas.com/" TargetMode="External"/><Relationship Id="rId30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2446</Words>
  <Characters>14433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2023.02.23_PR Colas - Financial Year 2022</vt:lpstr>
    </vt:vector>
  </TitlesOfParts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2023.02.23_PR Colas - Financial Year 2022</dc:title>
  <dc:creator>BEAUVAIS, Stéphanie (COLAS SA)</dc:creator>
  <cp:lastModifiedBy>ŠPAČKOVÁ, Andrea (SGCZE)</cp:lastModifiedBy>
  <cp:revision>2</cp:revision>
  <cp:lastPrinted>2023-03-02T07:55:00Z</cp:lastPrinted>
  <dcterms:created xsi:type="dcterms:W3CDTF">2023-03-02T08:41:00Z</dcterms:created>
  <dcterms:modified xsi:type="dcterms:W3CDTF">2023-03-02T08:41:00Z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0x010100CCFD873D48E65D4D879316134CA49DA3</vt:lpwstr>
  </property>
  <property fmtid="{D5CDD505-2E9C-101B-9397-08002B2CF9AE}" pid="3" name="Created">
    <vt:filetime>2023-02-22T00:00:00Z</vt:filetime>
  </property>
  <property fmtid="{D5CDD505-2E9C-101B-9397-08002B2CF9AE}" pid="4" name="Creator">
    <vt:lpwstr>Power PDF Create</vt:lpwstr>
  </property>
  <property fmtid="{D5CDD505-2E9C-101B-9397-08002B2CF9AE}" pid="5" name="LastSaved">
    <vt:filetime>2023-02-24T00:00:00Z</vt:filetime>
  </property>
  <property fmtid="{D5CDD505-2E9C-101B-9397-08002B2CF9AE}" pid="6" name="MSIP_Label_06b95ba9-d50e-4074-b623-0a9711dc916f_ActionId">
    <vt:lpwstr>37aa50f6-c67a-4c33-aa42-0369b56094a2</vt:lpwstr>
  </property>
  <property fmtid="{D5CDD505-2E9C-101B-9397-08002B2CF9AE}" pid="7" name="MSIP_Label_06b95ba9-d50e-4074-b623-0a9711dc916f_ContentBits">
    <vt:lpwstr>0</vt:lpwstr>
  </property>
  <property fmtid="{D5CDD505-2E9C-101B-9397-08002B2CF9AE}" pid="8" name="MSIP_Label_06b95ba9-d50e-4074-b623-0a9711dc916f_Enabled">
    <vt:lpwstr>true</vt:lpwstr>
  </property>
  <property fmtid="{D5CDD505-2E9C-101B-9397-08002B2CF9AE}" pid="9" name="MSIP_Label_06b95ba9-d50e-4074-b623-0a9711dc916f_Method">
    <vt:lpwstr>Standard</vt:lpwstr>
  </property>
  <property fmtid="{D5CDD505-2E9C-101B-9397-08002B2CF9AE}" pid="10" name="MSIP_Label_06b95ba9-d50e-4074-b623-0a9711dc916f_Name">
    <vt:lpwstr>[Public]</vt:lpwstr>
  </property>
  <property fmtid="{D5CDD505-2E9C-101B-9397-08002B2CF9AE}" pid="11" name="MSIP_Label_06b95ba9-d50e-4074-b623-0a9711dc916f_SetDate">
    <vt:lpwstr>2021-03-02T15:01:48Z</vt:lpwstr>
  </property>
  <property fmtid="{D5CDD505-2E9C-101B-9397-08002B2CF9AE}" pid="12" name="MSIP_Label_06b95ba9-d50e-4074-b623-0a9711dc916f_SiteId">
    <vt:lpwstr>be0be093-a2ad-444c-93d9-5626e83beefc</vt:lpwstr>
  </property>
  <property fmtid="{D5CDD505-2E9C-101B-9397-08002B2CF9AE}" pid="13" name="MediaServiceImageTags">
    <vt:lpwstr/>
  </property>
  <property fmtid="{D5CDD505-2E9C-101B-9397-08002B2CF9AE}" pid="14" name="Producer">
    <vt:lpwstr>Power PDF Create</vt:lpwstr>
  </property>
</Properties>
</file>